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22" w:rsidRPr="00FB6C22" w:rsidRDefault="00FB6C22" w:rsidP="000346DF">
      <w:pPr>
        <w:spacing w:before="120" w:after="0" w:line="360" w:lineRule="auto"/>
        <w:jc w:val="left"/>
        <w:rPr>
          <w:rFonts w:ascii="Times New Roman" w:hAnsi="Times New Roman" w:cs="Times New Roman"/>
          <w:b/>
          <w:bCs/>
          <w:color w:val="FF0000"/>
        </w:rPr>
      </w:pPr>
      <w:r>
        <w:rPr>
          <w:rFonts w:ascii="Times New Roman" w:hAnsi="Times New Roman" w:cs="Times New Roman"/>
          <w:b/>
          <w:bCs/>
          <w:color w:val="FF0000"/>
        </w:rPr>
        <w:t xml:space="preserve">(((Frédo, au moment de </w:t>
      </w:r>
      <w:r w:rsidR="002B4553">
        <w:rPr>
          <w:rFonts w:ascii="Times New Roman" w:hAnsi="Times New Roman" w:cs="Times New Roman"/>
          <w:b/>
          <w:bCs/>
          <w:color w:val="FF0000"/>
        </w:rPr>
        <w:t>la</w:t>
      </w:r>
      <w:r>
        <w:rPr>
          <w:rFonts w:ascii="Times New Roman" w:hAnsi="Times New Roman" w:cs="Times New Roman"/>
          <w:b/>
          <w:bCs/>
          <w:color w:val="FF0000"/>
        </w:rPr>
        <w:t xml:space="preserve"> mise en page, appelle-moi pour te préciser quelques détails </w:t>
      </w:r>
      <w:r w:rsidR="002B4553">
        <w:rPr>
          <w:rFonts w:ascii="Times New Roman" w:hAnsi="Times New Roman" w:cs="Times New Roman"/>
          <w:b/>
          <w:bCs/>
          <w:color w:val="FF0000"/>
        </w:rPr>
        <w:t>concernant</w:t>
      </w:r>
      <w:r>
        <w:rPr>
          <w:rFonts w:ascii="Times New Roman" w:hAnsi="Times New Roman" w:cs="Times New Roman"/>
          <w:b/>
          <w:bCs/>
          <w:color w:val="FF0000"/>
        </w:rPr>
        <w:t xml:space="preserve"> les graphiques, s.t.p.)))</w:t>
      </w:r>
    </w:p>
    <w:p w:rsidR="00FB6C22" w:rsidRDefault="00FB6C22" w:rsidP="000346DF">
      <w:pPr>
        <w:spacing w:before="120" w:after="0" w:line="360" w:lineRule="auto"/>
        <w:jc w:val="left"/>
        <w:rPr>
          <w:rFonts w:ascii="Times New Roman" w:hAnsi="Times New Roman" w:cs="Times New Roman"/>
          <w:b/>
          <w:bCs/>
          <w:sz w:val="28"/>
          <w:szCs w:val="28"/>
        </w:rPr>
      </w:pPr>
    </w:p>
    <w:p w:rsidR="00AF4E89" w:rsidRPr="00E42142" w:rsidRDefault="00415463" w:rsidP="000346DF">
      <w:pPr>
        <w:spacing w:before="120" w:after="0" w:line="360" w:lineRule="auto"/>
        <w:jc w:val="left"/>
        <w:rPr>
          <w:rFonts w:ascii="Times New Roman" w:hAnsi="Times New Roman" w:cs="Times New Roman"/>
          <w:b/>
          <w:bCs/>
          <w:sz w:val="28"/>
          <w:szCs w:val="28"/>
        </w:rPr>
      </w:pPr>
      <w:r w:rsidRPr="00E42142">
        <w:rPr>
          <w:rFonts w:ascii="Times New Roman" w:hAnsi="Times New Roman" w:cs="Times New Roman"/>
          <w:b/>
          <w:bCs/>
          <w:sz w:val="28"/>
          <w:szCs w:val="28"/>
        </w:rPr>
        <w:t>La bataille de l’acier décarboné : faire de nécessité vertu</w:t>
      </w:r>
    </w:p>
    <w:p w:rsidR="00AF4E89" w:rsidRPr="00E42142" w:rsidRDefault="00415463" w:rsidP="00E42142">
      <w:pPr>
        <w:spacing w:before="120" w:after="0" w:line="360" w:lineRule="auto"/>
        <w:jc w:val="left"/>
        <w:rPr>
          <w:rFonts w:ascii="Times New Roman" w:hAnsi="Times New Roman" w:cs="Times New Roman"/>
          <w:bCs/>
        </w:rPr>
      </w:pPr>
      <w:r w:rsidRPr="00E42142">
        <w:rPr>
          <w:rFonts w:ascii="Times New Roman" w:hAnsi="Times New Roman" w:cs="Times New Roman"/>
          <w:bCs/>
        </w:rPr>
        <w:t>L’Europe connaît une crise de la sidérurgie, en tout cas des emplois sont supprimés et les usines ferme</w:t>
      </w:r>
      <w:r w:rsidR="00CB7B23">
        <w:rPr>
          <w:rFonts w:ascii="Times New Roman" w:hAnsi="Times New Roman" w:cs="Times New Roman"/>
          <w:bCs/>
        </w:rPr>
        <w:t>nt</w:t>
      </w:r>
      <w:r w:rsidRPr="00E42142">
        <w:rPr>
          <w:rFonts w:ascii="Times New Roman" w:hAnsi="Times New Roman" w:cs="Times New Roman"/>
          <w:bCs/>
        </w:rPr>
        <w:t xml:space="preserve">. La cause serait la Chine et ses formidables capacités de production couplées à des subventions massives de la part de </w:t>
      </w:r>
      <w:r w:rsidR="00E42142">
        <w:rPr>
          <w:rFonts w:ascii="Times New Roman" w:hAnsi="Times New Roman" w:cs="Times New Roman"/>
          <w:bCs/>
        </w:rPr>
        <w:t>son</w:t>
      </w:r>
      <w:r w:rsidRPr="00E42142">
        <w:rPr>
          <w:rFonts w:ascii="Times New Roman" w:hAnsi="Times New Roman" w:cs="Times New Roman"/>
          <w:bCs/>
        </w:rPr>
        <w:t xml:space="preserve"> gouvernement. Pourtant, l’Europe produit de l’acier et devra en produire plus dans les prochaines années pour accompagner l’effort de transition écologique. L’industrie, une des plus polluantes en </w:t>
      </w:r>
      <w:r w:rsidR="00E42142">
        <w:rPr>
          <w:rFonts w:ascii="Times New Roman" w:hAnsi="Times New Roman" w:cs="Times New Roman"/>
          <w:bCs/>
        </w:rPr>
        <w:t>France,</w:t>
      </w:r>
      <w:r w:rsidRPr="00E42142">
        <w:rPr>
          <w:rFonts w:ascii="Times New Roman" w:hAnsi="Times New Roman" w:cs="Times New Roman"/>
          <w:bCs/>
        </w:rPr>
        <w:t xml:space="preserve"> devra </w:t>
      </w:r>
      <w:r w:rsidR="00CB7B23" w:rsidRPr="00E42142">
        <w:rPr>
          <w:rFonts w:ascii="Times New Roman" w:hAnsi="Times New Roman" w:cs="Times New Roman"/>
          <w:bCs/>
        </w:rPr>
        <w:t>faire</w:t>
      </w:r>
      <w:r w:rsidR="00CB7B23" w:rsidRPr="00E42142">
        <w:rPr>
          <w:rFonts w:ascii="Times New Roman" w:hAnsi="Times New Roman" w:cs="Times New Roman"/>
          <w:bCs/>
        </w:rPr>
        <w:t xml:space="preserve"> </w:t>
      </w:r>
      <w:r w:rsidRPr="00E42142">
        <w:rPr>
          <w:rFonts w:ascii="Times New Roman" w:hAnsi="Times New Roman" w:cs="Times New Roman"/>
          <w:bCs/>
        </w:rPr>
        <w:t xml:space="preserve">elle aussi sa transition vers des procédés plus </w:t>
      </w:r>
      <w:r w:rsidR="005233CF" w:rsidRPr="00E42142">
        <w:rPr>
          <w:rFonts w:ascii="Times New Roman" w:hAnsi="Times New Roman" w:cs="Times New Roman"/>
          <w:bCs/>
        </w:rPr>
        <w:t>décarbonés</w:t>
      </w:r>
      <w:r w:rsidR="00E42142">
        <w:rPr>
          <w:rFonts w:ascii="Times New Roman" w:hAnsi="Times New Roman" w:cs="Times New Roman"/>
          <w:bCs/>
        </w:rPr>
        <w:t>.</w:t>
      </w:r>
    </w:p>
    <w:p w:rsidR="00E42142" w:rsidRPr="00E42142" w:rsidRDefault="00E42142" w:rsidP="00E42142">
      <w:pPr>
        <w:spacing w:before="120" w:after="0" w:line="360" w:lineRule="auto"/>
        <w:rPr>
          <w:rFonts w:ascii="Times New Roman" w:hAnsi="Times New Roman" w:cs="Times New Roman"/>
          <w:smallCaps/>
          <w:sz w:val="22"/>
          <w:szCs w:val="22"/>
        </w:rPr>
      </w:pPr>
      <w:r w:rsidRPr="00E42142">
        <w:rPr>
          <w:rFonts w:ascii="Times New Roman" w:hAnsi="Times New Roman" w:cs="Times New Roman"/>
          <w:smallCaps/>
          <w:sz w:val="22"/>
          <w:szCs w:val="22"/>
        </w:rPr>
        <w:t>Par Kevin Guillas-Cavan et Tibor Sarcey</w:t>
      </w:r>
      <w:r>
        <w:rPr>
          <w:rFonts w:ascii="Times New Roman" w:hAnsi="Times New Roman" w:cs="Times New Roman"/>
          <w:smallCaps/>
          <w:sz w:val="22"/>
          <w:szCs w:val="22"/>
        </w:rPr>
        <w:t>*</w:t>
      </w:r>
    </w:p>
    <w:p w:rsidR="00AF4E89" w:rsidRPr="00E42142" w:rsidRDefault="00AF4E89" w:rsidP="00E42142">
      <w:pPr>
        <w:spacing w:before="120" w:after="0" w:line="360" w:lineRule="auto"/>
        <w:rPr>
          <w:rFonts w:ascii="Times New Roman" w:hAnsi="Times New Roman" w:cs="Times New Roman"/>
          <w:b/>
          <w:bCs/>
          <w:sz w:val="22"/>
          <w:szCs w:val="22"/>
        </w:rPr>
      </w:pPr>
    </w:p>
    <w:p w:rsidR="007038A0" w:rsidRDefault="00415463" w:rsidP="000059EF">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La crise de la sidérurgie est désormais bien connue et fait couler beaucoup d’encre. Les fameuses surcapacités chinoises qui menaceraient de déferler sur l’Europe sont en fait assez limitées. La Chine n’exporte en effet que 14 % de sa production, dont la croissance a essentiellement soutenu la croissance manufacturière du pays. Au sein de ces exportations</w:t>
      </w:r>
      <w:r w:rsidR="00E42142">
        <w:rPr>
          <w:rFonts w:ascii="Times New Roman" w:hAnsi="Times New Roman" w:cs="Times New Roman"/>
          <w:sz w:val="22"/>
          <w:szCs w:val="22"/>
        </w:rPr>
        <w:t xml:space="preserve">, la part de l’Union européenne </w:t>
      </w:r>
      <w:r w:rsidRPr="00E42142">
        <w:rPr>
          <w:rFonts w:ascii="Times New Roman" w:hAnsi="Times New Roman" w:cs="Times New Roman"/>
          <w:sz w:val="22"/>
          <w:szCs w:val="22"/>
        </w:rPr>
        <w:t>(UE) est marginale (4,47 </w:t>
      </w:r>
      <w:r w:rsidR="00E42142">
        <w:rPr>
          <w:rFonts w:ascii="Times New Roman" w:hAnsi="Times New Roman" w:cs="Times New Roman"/>
          <w:sz w:val="22"/>
          <w:szCs w:val="22"/>
        </w:rPr>
        <w:t>Mt</w:t>
      </w:r>
      <w:r w:rsidRPr="00E42142">
        <w:rPr>
          <w:rFonts w:ascii="Times New Roman" w:hAnsi="Times New Roman" w:cs="Times New Roman"/>
          <w:sz w:val="22"/>
          <w:szCs w:val="22"/>
        </w:rPr>
        <w:t xml:space="preserve"> sur 133 exportées, soit 3,4 % du total en 2023). Globalement, l’UE est autosuffisante à 85 %</w:t>
      </w:r>
      <w:r w:rsidR="00E42142">
        <w:rPr>
          <w:rFonts w:ascii="Times New Roman" w:hAnsi="Times New Roman" w:cs="Times New Roman"/>
          <w:sz w:val="22"/>
          <w:szCs w:val="22"/>
        </w:rPr>
        <w:t>,</w:t>
      </w:r>
      <w:r w:rsidRPr="00E42142">
        <w:rPr>
          <w:rFonts w:ascii="Times New Roman" w:hAnsi="Times New Roman" w:cs="Times New Roman"/>
          <w:sz w:val="22"/>
          <w:szCs w:val="22"/>
        </w:rPr>
        <w:t xml:space="preserve"> et sa consommation </w:t>
      </w:r>
      <w:r w:rsidR="00E42142">
        <w:rPr>
          <w:rFonts w:ascii="Times New Roman" w:hAnsi="Times New Roman" w:cs="Times New Roman"/>
          <w:sz w:val="22"/>
          <w:szCs w:val="22"/>
        </w:rPr>
        <w:t xml:space="preserve">reste </w:t>
      </w:r>
      <w:r w:rsidRPr="00E42142">
        <w:rPr>
          <w:rFonts w:ascii="Times New Roman" w:hAnsi="Times New Roman" w:cs="Times New Roman"/>
          <w:sz w:val="22"/>
          <w:szCs w:val="22"/>
        </w:rPr>
        <w:t>stable.</w:t>
      </w:r>
    </w:p>
    <w:p w:rsidR="007038A0" w:rsidRDefault="007038A0" w:rsidP="000059EF">
      <w:pPr>
        <w:spacing w:before="120" w:after="0" w:line="360" w:lineRule="auto"/>
        <w:rPr>
          <w:rFonts w:ascii="Times New Roman" w:hAnsi="Times New Roman" w:cs="Times New Roman"/>
          <w:sz w:val="22"/>
          <w:szCs w:val="22"/>
        </w:rPr>
      </w:pPr>
    </w:p>
    <w:p w:rsidR="000059EF" w:rsidRPr="007038A0" w:rsidRDefault="00AB49F5" w:rsidP="000059EF">
      <w:pPr>
        <w:spacing w:before="120" w:after="0" w:line="360" w:lineRule="auto"/>
        <w:rPr>
          <w:rFonts w:ascii="Times New Roman" w:hAnsi="Times New Roman" w:cs="Times New Roman"/>
          <w:sz w:val="22"/>
          <w:szCs w:val="22"/>
        </w:rPr>
      </w:pPr>
      <w:r>
        <w:rPr>
          <w:rFonts w:ascii="Arial Regular" w:hAnsi="Arial Regular" w:cs="Arial Regular"/>
          <w:b/>
          <w:color w:val="FF0000"/>
        </w:rPr>
        <w:t>(</w:t>
      </w:r>
      <w:r w:rsidR="000059EF">
        <w:rPr>
          <w:rFonts w:ascii="Arial Regular" w:hAnsi="Arial Regular" w:cs="Arial Regular"/>
          <w:b/>
          <w:color w:val="FF0000"/>
        </w:rPr>
        <w:t xml:space="preserve">((Graphique </w:t>
      </w:r>
      <w:r w:rsidR="001634B3" w:rsidRPr="007038A0">
        <w:rPr>
          <w:rFonts w:ascii="Calibri" w:hAnsi="Calibri" w:cs="Calibri"/>
          <w:b/>
          <w:sz w:val="22"/>
          <w:szCs w:val="22"/>
        </w:rPr>
        <w:t>PRODUCTION ET CONSOMMATION D’ACIER BRUT DE L’UE</w:t>
      </w:r>
      <w:r w:rsidR="000059EF" w:rsidRPr="000059EF">
        <w:rPr>
          <w:rFonts w:ascii="Arial Regular" w:hAnsi="Arial Regular" w:cs="Arial Regular"/>
          <w:b/>
          <w:color w:val="FF0000"/>
        </w:rPr>
        <w:t>))</w:t>
      </w:r>
      <w:r>
        <w:rPr>
          <w:rFonts w:ascii="Arial Regular" w:hAnsi="Arial Regular" w:cs="Arial Regular"/>
          <w:b/>
          <w:color w:val="FF0000"/>
        </w:rPr>
        <w:t>)</w:t>
      </w:r>
    </w:p>
    <w:p w:rsidR="000059EF" w:rsidRPr="000059EF" w:rsidRDefault="00C842D0" w:rsidP="00C842D0">
      <w:pPr>
        <w:tabs>
          <w:tab w:val="left" w:pos="4678"/>
        </w:tabs>
        <w:spacing w:before="120" w:after="0" w:line="360" w:lineRule="auto"/>
        <w:jc w:val="left"/>
        <w:rPr>
          <w:rFonts w:ascii="Calibri" w:hAnsi="Calibri" w:cs="Calibri"/>
          <w:sz w:val="18"/>
          <w:szCs w:val="18"/>
        </w:rPr>
      </w:pPr>
      <w:r w:rsidRPr="00C842D0">
        <w:rPr>
          <w:rFonts w:ascii="Calibri" w:hAnsi="Calibri" w:cs="Calibri"/>
          <w:iCs/>
          <w:sz w:val="18"/>
          <w:szCs w:val="18"/>
        </w:rPr>
        <w:t>(Mt)</w:t>
      </w:r>
      <w:r w:rsidR="000059EF">
        <w:rPr>
          <w:rFonts w:ascii="Calibri" w:hAnsi="Calibri" w:cs="Calibri"/>
          <w:i/>
          <w:iCs/>
          <w:sz w:val="18"/>
          <w:szCs w:val="18"/>
        </w:rPr>
        <w:tab/>
      </w:r>
      <w:r w:rsidR="000059EF" w:rsidRPr="000059EF">
        <w:rPr>
          <w:rFonts w:ascii="Calibri" w:hAnsi="Calibri" w:cs="Calibri"/>
          <w:i/>
          <w:iCs/>
          <w:sz w:val="18"/>
          <w:szCs w:val="18"/>
        </w:rPr>
        <w:t xml:space="preserve">Source : </w:t>
      </w:r>
      <w:r w:rsidR="000059EF" w:rsidRPr="000059EF">
        <w:rPr>
          <w:rFonts w:ascii="Calibri" w:hAnsi="Calibri" w:cs="Calibri"/>
          <w:iCs/>
          <w:sz w:val="18"/>
          <w:szCs w:val="18"/>
        </w:rPr>
        <w:t>Wordlsteel.</w:t>
      </w:r>
    </w:p>
    <w:p w:rsidR="000059EF" w:rsidRDefault="000059EF" w:rsidP="000059EF">
      <w:pPr>
        <w:spacing w:before="120" w:after="0" w:line="360" w:lineRule="auto"/>
        <w:rPr>
          <w:rFonts w:ascii="Arial Regular" w:hAnsi="Arial Regular" w:cs="Arial Regular"/>
          <w:i/>
          <w:iCs/>
        </w:rPr>
      </w:pPr>
      <w:r>
        <w:rPr>
          <w:rFonts w:ascii="Arial Regular" w:hAnsi="Arial Regular" w:cs="Arial Regular"/>
          <w:i/>
          <w:iCs/>
          <w:noProof/>
          <w:lang w:eastAsia="fr-FR"/>
        </w:rPr>
        <mc:AlternateContent>
          <mc:Choice Requires="wpg">
            <w:drawing>
              <wp:inline distT="0" distB="0" distL="118745" distR="118745" wp14:anchorId="6AEC9B05" wp14:editId="1203FAB7">
                <wp:extent cx="4790941" cy="2672160"/>
                <wp:effectExtent l="0" t="0" r="10160" b="13970"/>
                <wp:docPr id="2" name="Groupe 2"/>
                <wp:cNvGraphicFramePr/>
                <a:graphic xmlns:a="http://schemas.openxmlformats.org/drawingml/2006/main">
                  <a:graphicData uri="http://schemas.microsoft.com/office/word/2010/wordprocessingGroup">
                    <wpg:wgp>
                      <wpg:cNvGrpSpPr/>
                      <wpg:grpSpPr>
                        <a:xfrm>
                          <a:off x="0" y="0"/>
                          <a:ext cx="4790941" cy="2672160"/>
                          <a:chOff x="0" y="0"/>
                          <a:chExt cx="4680520" cy="2736304"/>
                        </a:xfrm>
                      </wpg:grpSpPr>
                      <wpg:graphicFrame>
                        <wpg:cNvPr id="3" name="Graphique 3"/>
                        <wpg:cNvFrPr/>
                        <wpg:xfrm>
                          <a:off x="0" y="0"/>
                          <a:ext cx="4680520" cy="2736304"/>
                        </wpg:xfrm>
                        <a:graphic>
                          <a:graphicData uri="http://schemas.openxmlformats.org/drawingml/2006/chart">
                            <c:chart xmlns:c="http://schemas.openxmlformats.org/drawingml/2006/chart" xmlns:r="http://schemas.openxmlformats.org/officeDocument/2006/relationships" r:id="rId11"/>
                          </a:graphicData>
                        </a:graphic>
                      </wpg:graphicFrame>
                      <wps:wsp>
                        <wps:cNvPr id="4" name="ZoneTexte 1"/>
                        <wps:cNvSpPr txBox="1"/>
                        <wps:spPr>
                          <a:xfrm>
                            <a:off x="1334863" y="1186260"/>
                            <a:ext cx="2468647" cy="986418"/>
                          </a:xfrm>
                          <a:prstGeom prst="rect">
                            <a:avLst/>
                          </a:prstGeom>
                        </wps:spPr>
                        <wps:txbx>
                          <w:txbxContent>
                            <w:p w:rsidR="000059EF" w:rsidRDefault="000059EF" w:rsidP="000059EF">
                              <w:pPr>
                                <w:rPr>
                                  <w:rFonts w:asciiTheme="minorHAnsi" w:hAnsi="Aptos"/>
                                  <w:color w:val="FF0000"/>
                                  <w:kern w:val="24"/>
                                  <w:sz w:val="26"/>
                                  <w:szCs w:val="26"/>
                                  <w14:ligatures w14:val="none"/>
                                </w:rPr>
                              </w:pPr>
                              <w:r>
                                <w:rPr>
                                  <w:rFonts w:asciiTheme="minorHAnsi" w:hAnsi="Aptos"/>
                                  <w:color w:val="FF0000"/>
                                  <w:kern w:val="24"/>
                                  <w:sz w:val="26"/>
                                  <w:szCs w:val="26"/>
                                </w:rPr>
                                <w:t xml:space="preserve">Consommation 2010-2023 </w:t>
                              </w:r>
                              <w:r>
                                <w:rPr>
                                  <w:rFonts w:asciiTheme="minorHAnsi" w:hAnsi="Wingdings"/>
                                  <w:color w:val="FF0000"/>
                                  <w:kern w:val="24"/>
                                  <w:sz w:val="26"/>
                                  <w:szCs w:val="26"/>
                                </w:rPr>
                                <w:sym w:font="Wingdings" w:char="F0E0"/>
                              </w:r>
                              <w:r>
                                <w:rPr>
                                  <w:rFonts w:asciiTheme="minorHAnsi" w:hAnsi="Aptos"/>
                                  <w:color w:val="FF0000"/>
                                  <w:kern w:val="24"/>
                                  <w:sz w:val="26"/>
                                  <w:szCs w:val="26"/>
                                </w:rPr>
                                <w:t>-8 Mt</w:t>
                              </w:r>
                            </w:p>
                            <w:p w:rsidR="000059EF" w:rsidRDefault="000059EF" w:rsidP="000059EF">
                              <w:pPr>
                                <w:rPr>
                                  <w:rFonts w:asciiTheme="minorHAnsi" w:hAnsi="Aptos"/>
                                  <w:color w:val="0070C0"/>
                                  <w:kern w:val="24"/>
                                  <w:sz w:val="26"/>
                                  <w:szCs w:val="26"/>
                                </w:rPr>
                              </w:pPr>
                              <w:r>
                                <w:rPr>
                                  <w:rFonts w:asciiTheme="minorHAnsi" w:hAnsi="Aptos"/>
                                  <w:color w:val="0070C0"/>
                                  <w:kern w:val="24"/>
                                  <w:sz w:val="26"/>
                                  <w:szCs w:val="26"/>
                                </w:rPr>
                                <w:t xml:space="preserve">Production 2010-2023 </w:t>
                              </w:r>
                              <w:r>
                                <w:rPr>
                                  <w:rFonts w:asciiTheme="minorHAnsi" w:hAnsi="Wingdings"/>
                                  <w:color w:val="0070C0"/>
                                  <w:kern w:val="24"/>
                                  <w:sz w:val="26"/>
                                  <w:szCs w:val="26"/>
                                </w:rPr>
                                <w:sym w:font="Wingdings" w:char="F0E0"/>
                              </w:r>
                              <w:r>
                                <w:rPr>
                                  <w:rFonts w:asciiTheme="minorHAnsi" w:hAnsi="Aptos"/>
                                  <w:color w:val="0070C0"/>
                                  <w:kern w:val="24"/>
                                  <w:sz w:val="26"/>
                                  <w:szCs w:val="26"/>
                                </w:rPr>
                                <w:t>- 37 Mt</w:t>
                              </w:r>
                            </w:p>
                          </w:txbxContent>
                        </wps:txbx>
                        <wps:bodyPr wrap="none" rtlCol="0"/>
                      </wps:wsp>
                    </wpg:wgp>
                  </a:graphicData>
                </a:graphic>
              </wp:inline>
            </w:drawing>
          </mc:Choice>
          <mc:Fallback>
            <w:pict>
              <v:group w14:anchorId="6AEC9B05" id="Groupe 2" o:spid="_x0000_s1026" style="width:377.25pt;height:210.4pt;mso-position-horizontal-relative:char;mso-position-vertical-relative:line" coordsize="46805,27363"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 o:spid="_x0000_s1027" type="#_x0000_t75" style="position:absolute;left:-59;top:-62;width:46928;height:27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">
                  <v:imagedata r:id="rId12" o:title=""/>
                  <o:lock v:ext="edit" aspectratio="f"/>
                </v:shape>
                <v:shapetype id="_x0000_t202" coordsize="21600,21600" o:spt="202" path="m,l,21600r21600,l21600,xe">
                  <v:stroke joinstyle="miter"/>
                  <v:path gradientshapeok="t" o:connecttype="rect"/>
                </v:shapetype>
                <v:shape id="ZoneTexte 1" o:spid="_x0000_s1028" type="#_x0000_t202" style="position:absolute;left:13348;top:11862;width:24687;height:9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rsidR="000059EF" w:rsidRDefault="000059EF" w:rsidP="000059EF">
                        <w:pPr>
                          <w:rPr>
                            <w:rFonts w:asciiTheme="minorHAnsi" w:hAnsi="Aptos"/>
                            <w:color w:val="FF0000"/>
                            <w:kern w:val="24"/>
                            <w:sz w:val="26"/>
                            <w:szCs w:val="26"/>
                            <w14:ligatures w14:val="none"/>
                          </w:rPr>
                        </w:pPr>
                        <w:r>
                          <w:rPr>
                            <w:rFonts w:asciiTheme="minorHAnsi" w:hAnsi="Aptos"/>
                            <w:color w:val="FF0000"/>
                            <w:kern w:val="24"/>
                            <w:sz w:val="26"/>
                            <w:szCs w:val="26"/>
                          </w:rPr>
                          <w:t xml:space="preserve">Consommation 2010-2023 </w:t>
                        </w:r>
                        <w:r>
                          <w:rPr>
                            <w:rFonts w:asciiTheme="minorHAnsi" w:hAnsi="Wingdings"/>
                            <w:color w:val="FF0000"/>
                            <w:kern w:val="24"/>
                            <w:sz w:val="26"/>
                            <w:szCs w:val="26"/>
                          </w:rPr>
                          <w:sym w:font="Wingdings" w:char="F0E0"/>
                        </w:r>
                        <w:r>
                          <w:rPr>
                            <w:rFonts w:asciiTheme="minorHAnsi" w:hAnsi="Aptos"/>
                            <w:color w:val="FF0000"/>
                            <w:kern w:val="24"/>
                            <w:sz w:val="26"/>
                            <w:szCs w:val="26"/>
                          </w:rPr>
                          <w:t>-8 Mt</w:t>
                        </w:r>
                      </w:p>
                      <w:p w:rsidR="000059EF" w:rsidRDefault="000059EF" w:rsidP="000059EF">
                        <w:pPr>
                          <w:rPr>
                            <w:rFonts w:asciiTheme="minorHAnsi" w:hAnsi="Aptos"/>
                            <w:color w:val="0070C0"/>
                            <w:kern w:val="24"/>
                            <w:sz w:val="26"/>
                            <w:szCs w:val="26"/>
                          </w:rPr>
                        </w:pPr>
                        <w:r>
                          <w:rPr>
                            <w:rFonts w:asciiTheme="minorHAnsi" w:hAnsi="Aptos"/>
                            <w:color w:val="0070C0"/>
                            <w:kern w:val="24"/>
                            <w:sz w:val="26"/>
                            <w:szCs w:val="26"/>
                          </w:rPr>
                          <w:t xml:space="preserve">Production 2010-2023 </w:t>
                        </w:r>
                        <w:r>
                          <w:rPr>
                            <w:rFonts w:asciiTheme="minorHAnsi" w:hAnsi="Wingdings"/>
                            <w:color w:val="0070C0"/>
                            <w:kern w:val="24"/>
                            <w:sz w:val="26"/>
                            <w:szCs w:val="26"/>
                          </w:rPr>
                          <w:sym w:font="Wingdings" w:char="F0E0"/>
                        </w:r>
                        <w:r>
                          <w:rPr>
                            <w:rFonts w:asciiTheme="minorHAnsi" w:hAnsi="Aptos"/>
                            <w:color w:val="0070C0"/>
                            <w:kern w:val="24"/>
                            <w:sz w:val="26"/>
                            <w:szCs w:val="26"/>
                          </w:rPr>
                          <w:t>- 37 Mt</w:t>
                        </w:r>
                      </w:p>
                    </w:txbxContent>
                  </v:textbox>
                </v:shape>
                <w10:anchorlock/>
              </v:group>
            </w:pict>
          </mc:Fallback>
        </mc:AlternateContent>
      </w:r>
    </w:p>
    <w:p w:rsidR="00E42142" w:rsidRPr="00E42142" w:rsidRDefault="00E42142" w:rsidP="00E42142">
      <w:pPr>
        <w:spacing w:before="120" w:after="0" w:line="360" w:lineRule="auto"/>
        <w:rPr>
          <w:rFonts w:ascii="Times New Roman" w:hAnsi="Times New Roman" w:cs="Times New Roman"/>
          <w:sz w:val="22"/>
          <w:szCs w:val="22"/>
        </w:rPr>
      </w:pPr>
    </w:p>
    <w:p w:rsidR="00AF4E89" w:rsidRPr="00E42142" w:rsidRDefault="00E42142" w:rsidP="00E42142">
      <w:pPr>
        <w:pStyle w:val="Titre1"/>
        <w:numPr>
          <w:ilvl w:val="0"/>
          <w:numId w:val="0"/>
        </w:numPr>
        <w:spacing w:before="120" w:after="0" w:line="360" w:lineRule="auto"/>
        <w:ind w:left="357" w:hanging="357"/>
        <w:rPr>
          <w:rFonts w:ascii="Times New Roman" w:hAnsi="Times New Roman" w:cs="Times New Roman"/>
          <w:sz w:val="22"/>
          <w:szCs w:val="22"/>
          <w:u w:val="none"/>
        </w:rPr>
      </w:pPr>
      <w:r w:rsidRPr="00E42142">
        <w:rPr>
          <w:rFonts w:ascii="Times New Roman" w:hAnsi="Times New Roman" w:cs="Times New Roman"/>
          <w:sz w:val="22"/>
          <w:szCs w:val="22"/>
          <w:u w:val="none"/>
        </w:rPr>
        <w:t xml:space="preserve">L’IMPOSSIBLE </w:t>
      </w:r>
      <w:r w:rsidRPr="00E42142">
        <w:rPr>
          <w:rFonts w:ascii="Times New Roman" w:hAnsi="Times New Roman" w:cs="Times New Roman"/>
          <w:i/>
          <w:sz w:val="22"/>
          <w:szCs w:val="22"/>
          <w:u w:val="none"/>
        </w:rPr>
        <w:t>STATU QUO</w:t>
      </w:r>
    </w:p>
    <w:p w:rsidR="00AF4E89"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 xml:space="preserve">Le fond de l’affaire, c’est qu’ArcelorMittal a décidé de fermer les capacités européennes et utilise les surcapacités chinoises pour faire passer la pilule. Or, en France, les hauts-fourneaux d’ArcelorMittal sont en fin de vie. </w:t>
      </w:r>
      <w:r w:rsidRPr="00E42142">
        <w:rPr>
          <w:rFonts w:ascii="Times New Roman" w:hAnsi="Times New Roman" w:cs="Times New Roman"/>
          <w:color w:val="0070C0"/>
          <w:sz w:val="22"/>
          <w:szCs w:val="22"/>
        </w:rPr>
        <w:t>Dès aujourd’hui, 2</w:t>
      </w:r>
      <w:r w:rsidR="00E42142">
        <w:rPr>
          <w:rFonts w:ascii="Times New Roman" w:hAnsi="Times New Roman" w:cs="Times New Roman"/>
          <w:color w:val="0070C0"/>
          <w:sz w:val="22"/>
          <w:szCs w:val="22"/>
        </w:rPr>
        <w:t> </w:t>
      </w:r>
      <w:r w:rsidRPr="00E42142">
        <w:rPr>
          <w:rFonts w:ascii="Times New Roman" w:hAnsi="Times New Roman" w:cs="Times New Roman"/>
          <w:color w:val="0070C0"/>
          <w:sz w:val="22"/>
          <w:szCs w:val="22"/>
        </w:rPr>
        <w:t>des 5 hauts-fourneaux du pays sont à l’arrêt</w:t>
      </w:r>
      <w:r w:rsidR="00E42142">
        <w:rPr>
          <w:rFonts w:ascii="Times New Roman" w:hAnsi="Times New Roman" w:cs="Times New Roman"/>
          <w:color w:val="0070C0"/>
          <w:sz w:val="22"/>
          <w:szCs w:val="22"/>
        </w:rPr>
        <w:t>,</w:t>
      </w:r>
      <w:r w:rsidRPr="00E42142">
        <w:rPr>
          <w:rFonts w:ascii="Times New Roman" w:hAnsi="Times New Roman" w:cs="Times New Roman"/>
          <w:color w:val="0070C0"/>
          <w:sz w:val="22"/>
          <w:szCs w:val="22"/>
        </w:rPr>
        <w:t xml:space="preserve"> et aucun ne peut durer au-delà de 2029 sans investissements extrêmement importants</w:t>
      </w:r>
      <w:r w:rsidRPr="00E42142">
        <w:rPr>
          <w:rFonts w:ascii="Times New Roman" w:hAnsi="Times New Roman" w:cs="Times New Roman"/>
          <w:sz w:val="22"/>
          <w:szCs w:val="22"/>
        </w:rPr>
        <w:t>.</w:t>
      </w:r>
    </w:p>
    <w:p w:rsidR="007038A0" w:rsidRPr="00E42142" w:rsidRDefault="007038A0" w:rsidP="00E42142">
      <w:pPr>
        <w:spacing w:before="120" w:after="0" w:line="360" w:lineRule="auto"/>
        <w:rPr>
          <w:rFonts w:ascii="Times New Roman" w:hAnsi="Times New Roman" w:cs="Times New Roman"/>
          <w:sz w:val="22"/>
          <w:szCs w:val="22"/>
        </w:rPr>
      </w:pPr>
    </w:p>
    <w:p w:rsidR="007038A0" w:rsidRDefault="007038A0" w:rsidP="007038A0">
      <w:pPr>
        <w:spacing w:before="120" w:after="0" w:line="360" w:lineRule="auto"/>
        <w:jc w:val="left"/>
        <w:rPr>
          <w:rFonts w:ascii="Arial Regular" w:hAnsi="Arial Regular" w:cs="Arial Regular"/>
        </w:rPr>
      </w:pPr>
      <w:r>
        <w:rPr>
          <w:rFonts w:ascii="Times New Roman" w:hAnsi="Times New Roman" w:cs="Times New Roman"/>
          <w:b/>
          <w:color w:val="FF0000"/>
          <w:sz w:val="22"/>
          <w:szCs w:val="22"/>
        </w:rPr>
        <w:t>(</w:t>
      </w:r>
      <w:r w:rsidR="00415463" w:rsidRPr="00E42142">
        <w:rPr>
          <w:rFonts w:ascii="Times New Roman" w:hAnsi="Times New Roman" w:cs="Times New Roman"/>
          <w:b/>
          <w:color w:val="FF0000"/>
          <w:sz w:val="22"/>
          <w:szCs w:val="22"/>
        </w:rPr>
        <w:t>((Figure :</w:t>
      </w:r>
      <w:r w:rsidR="00415463" w:rsidRPr="00E42142">
        <w:rPr>
          <w:rFonts w:ascii="Times New Roman" w:hAnsi="Times New Roman" w:cs="Times New Roman"/>
          <w:color w:val="FF0000"/>
          <w:sz w:val="22"/>
          <w:szCs w:val="22"/>
        </w:rPr>
        <w:t xml:space="preserve"> </w:t>
      </w:r>
      <w:r w:rsidR="001634B3" w:rsidRPr="007038A0">
        <w:rPr>
          <w:rFonts w:ascii="Calibri" w:hAnsi="Calibri" w:cs="Calibri"/>
          <w:b/>
          <w:sz w:val="22"/>
          <w:szCs w:val="22"/>
        </w:rPr>
        <w:t>LES HAUT</w:t>
      </w:r>
      <w:r w:rsidR="001634B3">
        <w:rPr>
          <w:rFonts w:ascii="Calibri" w:hAnsi="Calibri" w:cs="Calibri"/>
          <w:b/>
          <w:sz w:val="22"/>
          <w:szCs w:val="22"/>
        </w:rPr>
        <w:t>S</w:t>
      </w:r>
      <w:r w:rsidR="001634B3" w:rsidRPr="007038A0">
        <w:rPr>
          <w:rFonts w:ascii="Calibri" w:hAnsi="Calibri" w:cs="Calibri"/>
          <w:b/>
          <w:sz w:val="22"/>
          <w:szCs w:val="22"/>
        </w:rPr>
        <w:t>-FOURNEAUX FRANÇAIS</w:t>
      </w:r>
      <w:r w:rsidRPr="007038A0">
        <w:rPr>
          <w:rFonts w:ascii="Times New Roman" w:hAnsi="Times New Roman" w:cs="Times New Roman"/>
          <w:b/>
          <w:color w:val="FF0000"/>
          <w:sz w:val="22"/>
          <w:szCs w:val="22"/>
        </w:rPr>
        <w:t>)))</w:t>
      </w:r>
    </w:p>
    <w:p w:rsidR="007038A0" w:rsidRDefault="007038A0" w:rsidP="007038A0">
      <w:pPr>
        <w:spacing w:before="120" w:after="0" w:line="360" w:lineRule="auto"/>
        <w:rPr>
          <w:rFonts w:ascii="Arial Regular" w:hAnsi="Arial Regular" w:cs="Arial Regular"/>
        </w:rPr>
      </w:pPr>
      <w:r>
        <w:rPr>
          <w:rFonts w:ascii="Arial Regular" w:hAnsi="Arial Regular" w:cs="Arial Regular"/>
          <w:noProof/>
          <w:lang w:eastAsia="fr-FR"/>
        </w:rPr>
        <w:drawing>
          <wp:inline distT="0" distB="0" distL="114300" distR="114300" wp14:anchorId="152B8F64" wp14:editId="4328BF47">
            <wp:extent cx="2801155" cy="2630331"/>
            <wp:effectExtent l="0" t="0" r="0" b="0"/>
            <wp:docPr id="5" name="Imag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92902" name="Image 1" descr="Une image contenant texte, capture d’écran, Police, diagramme&#10;&#10;Le contenu généré par l’IA peut êtr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21765" cy="2649684"/>
                    </a:xfrm>
                    <a:prstGeom prst="rect">
                      <a:avLst/>
                    </a:prstGeom>
                  </pic:spPr>
                </pic:pic>
              </a:graphicData>
            </a:graphic>
          </wp:inline>
        </w:drawing>
      </w: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Les investissements décidés aujourd’hui déterminent la production dans les quarante prochaines années. Il faut donc anticiper l’explosion du prix des quotas carbone, des énergies fossiles et les obligations d’incorporer de l’acier «</w:t>
      </w:r>
      <m:oMath>
        <m:r>
          <w:rPr>
            <w:rFonts w:ascii="Cambria Math" w:hAnsi="Cambria Math" w:cs="Times New Roman"/>
            <w:sz w:val="22"/>
            <w:szCs w:val="22"/>
          </w:rPr>
          <m:t> </m:t>
        </m:r>
      </m:oMath>
      <w:r w:rsidRPr="00E42142">
        <w:rPr>
          <w:rFonts w:ascii="Times New Roman" w:hAnsi="Times New Roman" w:cs="Times New Roman"/>
          <w:sz w:val="22"/>
          <w:szCs w:val="22"/>
        </w:rPr>
        <w:t>vert » pour les industries consommatrices. La fin de vie des hauts-fourneaux actuels peut donc être une opportunité.</w:t>
      </w:r>
    </w:p>
    <w:p w:rsidR="00AF4E89" w:rsidRPr="00E42142" w:rsidRDefault="00A65909" w:rsidP="00E42142">
      <w:pPr>
        <w:spacing w:before="120" w:after="0" w:line="360" w:lineRule="auto"/>
        <w:rPr>
          <w:rFonts w:ascii="Times New Roman" w:hAnsi="Times New Roman" w:cs="Times New Roman"/>
          <w:sz w:val="22"/>
          <w:szCs w:val="22"/>
        </w:rPr>
      </w:pPr>
      <w:r w:rsidRPr="00A9247A">
        <w:rPr>
          <w:rFonts w:ascii="Times New Roman" w:hAnsi="Times New Roman" w:cs="Times New Roman"/>
          <w:sz w:val="22"/>
          <w:szCs w:val="22"/>
          <w:highlight w:val="green"/>
        </w:rPr>
        <w:t>Si elle est nécessaire, l</w:t>
      </w:r>
      <w:r w:rsidR="00415463" w:rsidRPr="00A9247A">
        <w:rPr>
          <w:rFonts w:ascii="Times New Roman" w:hAnsi="Times New Roman" w:cs="Times New Roman"/>
          <w:sz w:val="22"/>
          <w:szCs w:val="22"/>
          <w:highlight w:val="green"/>
        </w:rPr>
        <w:t xml:space="preserve">a décarbonation de l’industrie sidérurgique n’est pas </w:t>
      </w:r>
      <w:r w:rsidR="00CB7B23" w:rsidRPr="00A9247A">
        <w:rPr>
          <w:rFonts w:ascii="Times New Roman" w:hAnsi="Times New Roman" w:cs="Times New Roman"/>
          <w:i/>
          <w:sz w:val="22"/>
          <w:szCs w:val="22"/>
          <w:highlight w:val="green"/>
        </w:rPr>
        <w:t>la</w:t>
      </w:r>
      <w:r w:rsidRPr="00A9247A">
        <w:rPr>
          <w:rFonts w:ascii="Times New Roman" w:hAnsi="Times New Roman" w:cs="Times New Roman"/>
          <w:sz w:val="22"/>
          <w:szCs w:val="22"/>
          <w:highlight w:val="green"/>
        </w:rPr>
        <w:t xml:space="preserve"> sol</w:t>
      </w:r>
      <w:r w:rsidR="00CB7B23" w:rsidRPr="00A9247A">
        <w:rPr>
          <w:rFonts w:ascii="Times New Roman" w:hAnsi="Times New Roman" w:cs="Times New Roman"/>
          <w:sz w:val="22"/>
          <w:szCs w:val="22"/>
          <w:highlight w:val="green"/>
        </w:rPr>
        <w:t>ution</w:t>
      </w:r>
      <w:r w:rsidR="00415463" w:rsidRPr="00E42142">
        <w:rPr>
          <w:rFonts w:ascii="Times New Roman" w:hAnsi="Times New Roman" w:cs="Times New Roman"/>
          <w:sz w:val="22"/>
          <w:szCs w:val="22"/>
        </w:rPr>
        <w:t xml:space="preserve"> pour atteindre les objectifs de réduction des émissions de gaz à effet de serre. Actuellement, l</w:t>
      </w:r>
      <w:r w:rsidR="00415463" w:rsidRPr="00E42142">
        <w:rPr>
          <w:rFonts w:ascii="Times New Roman" w:hAnsi="Times New Roman" w:cs="Times New Roman"/>
          <w:color w:val="0070C0"/>
          <w:sz w:val="22"/>
          <w:szCs w:val="22"/>
        </w:rPr>
        <w:t xml:space="preserve">a sidérurgie est le deuxième secteur industriel émetteur de gaz à effet de serre en </w:t>
      </w:r>
      <w:r w:rsidR="00E42142">
        <w:rPr>
          <w:rFonts w:ascii="Times New Roman" w:hAnsi="Times New Roman" w:cs="Times New Roman"/>
          <w:color w:val="0070C0"/>
          <w:sz w:val="22"/>
          <w:szCs w:val="22"/>
        </w:rPr>
        <w:t>France,</w:t>
      </w:r>
      <w:r w:rsidR="00415463" w:rsidRPr="00E42142">
        <w:rPr>
          <w:rFonts w:ascii="Times New Roman" w:hAnsi="Times New Roman" w:cs="Times New Roman"/>
          <w:color w:val="0070C0"/>
          <w:sz w:val="22"/>
          <w:szCs w:val="22"/>
        </w:rPr>
        <w:t xml:space="preserve"> après les cimentiers</w:t>
      </w:r>
      <w:r w:rsidR="00415463" w:rsidRPr="00E42142">
        <w:rPr>
          <w:rFonts w:ascii="Times New Roman" w:hAnsi="Times New Roman" w:cs="Times New Roman"/>
          <w:sz w:val="22"/>
          <w:szCs w:val="22"/>
        </w:rPr>
        <w:t xml:space="preserve">. La sidérurgie représente un quart des émissions industrielles à elle seule (et 5 % des émissions totales). Les hauts-fourneaux d’ArcelorMittal génèrent 16 % des émissions industrielles et 3 % des émissions de la </w:t>
      </w:r>
      <w:r w:rsidR="003900E6">
        <w:rPr>
          <w:rFonts w:ascii="Times New Roman" w:hAnsi="Times New Roman" w:cs="Times New Roman"/>
          <w:sz w:val="22"/>
          <w:szCs w:val="22"/>
        </w:rPr>
        <w:t>n</w:t>
      </w:r>
      <w:r w:rsidR="00415463" w:rsidRPr="00E42142">
        <w:rPr>
          <w:rFonts w:ascii="Times New Roman" w:hAnsi="Times New Roman" w:cs="Times New Roman"/>
          <w:sz w:val="22"/>
          <w:szCs w:val="22"/>
        </w:rPr>
        <w:t>ation.</w:t>
      </w:r>
    </w:p>
    <w:p w:rsidR="00AF4E89"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La décarbonation</w:t>
      </w:r>
      <w:r w:rsidR="007038A0">
        <w:rPr>
          <w:rFonts w:ascii="Times New Roman" w:hAnsi="Times New Roman" w:cs="Times New Roman"/>
          <w:sz w:val="22"/>
          <w:szCs w:val="22"/>
        </w:rPr>
        <w:t xml:space="preserve">, </w:t>
      </w:r>
      <w:r w:rsidR="007038A0" w:rsidRPr="00A9247A">
        <w:rPr>
          <w:rFonts w:ascii="Times New Roman" w:hAnsi="Times New Roman" w:cs="Times New Roman"/>
          <w:sz w:val="22"/>
          <w:szCs w:val="22"/>
          <w:highlight w:val="green"/>
        </w:rPr>
        <w:t>redisons-le,</w:t>
      </w:r>
      <w:r w:rsidRPr="00A9247A">
        <w:rPr>
          <w:rFonts w:ascii="Times New Roman" w:hAnsi="Times New Roman" w:cs="Times New Roman"/>
          <w:sz w:val="22"/>
          <w:szCs w:val="22"/>
          <w:highlight w:val="green"/>
        </w:rPr>
        <w:t xml:space="preserve"> n’est pas </w:t>
      </w:r>
      <w:r w:rsidR="00A65909" w:rsidRPr="00A9247A">
        <w:rPr>
          <w:rFonts w:ascii="Times New Roman" w:hAnsi="Times New Roman" w:cs="Times New Roman"/>
          <w:sz w:val="22"/>
          <w:szCs w:val="22"/>
          <w:highlight w:val="green"/>
        </w:rPr>
        <w:t>la solution</w:t>
      </w:r>
      <w:bookmarkStart w:id="0" w:name="_GoBack"/>
      <w:bookmarkEnd w:id="0"/>
      <w:r w:rsidRPr="00E42142">
        <w:rPr>
          <w:rFonts w:ascii="Times New Roman" w:hAnsi="Times New Roman" w:cs="Times New Roman"/>
          <w:sz w:val="22"/>
          <w:szCs w:val="22"/>
        </w:rPr>
        <w:t>, mais elle doit être réelle et non en substituant des importations (très) carbonée</w:t>
      </w:r>
      <w:r w:rsidR="003900E6">
        <w:rPr>
          <w:rFonts w:ascii="Times New Roman" w:hAnsi="Times New Roman" w:cs="Times New Roman"/>
          <w:sz w:val="22"/>
          <w:szCs w:val="22"/>
        </w:rPr>
        <w:t>s à la production nationale. Or</w:t>
      </w:r>
      <w:r w:rsidRPr="00E42142">
        <w:rPr>
          <w:rFonts w:ascii="Times New Roman" w:hAnsi="Times New Roman" w:cs="Times New Roman"/>
          <w:sz w:val="22"/>
          <w:szCs w:val="22"/>
        </w:rPr>
        <w:t xml:space="preserve"> les besoins en acier en France et en Europe sont importants… et croissants. Deux des quatre scénarios de l’Agence de l’environnement et de la maîtrise de l’énergie (ADEME) prévoient une augmentation de la demande d’acier en France, portée par </w:t>
      </w:r>
      <w:r w:rsidRPr="00E42142">
        <w:rPr>
          <w:rFonts w:ascii="Times New Roman" w:hAnsi="Times New Roman" w:cs="Times New Roman"/>
          <w:sz w:val="22"/>
          <w:szCs w:val="22"/>
        </w:rPr>
        <w:lastRenderedPageBreak/>
        <w:t>le secteur énergétique. Même les scénarios «</w:t>
      </w:r>
      <w:r w:rsidR="003900E6">
        <w:rPr>
          <w:rFonts w:ascii="Times New Roman" w:hAnsi="Times New Roman" w:cs="Times New Roman"/>
          <w:sz w:val="22"/>
          <w:szCs w:val="22"/>
        </w:rPr>
        <w:t> </w:t>
      </w:r>
      <w:r w:rsidRPr="00E42142">
        <w:rPr>
          <w:rFonts w:ascii="Times New Roman" w:hAnsi="Times New Roman" w:cs="Times New Roman"/>
          <w:sz w:val="22"/>
          <w:szCs w:val="22"/>
        </w:rPr>
        <w:t>décroissionnistes</w:t>
      </w:r>
      <w:r w:rsidR="003900E6">
        <w:rPr>
          <w:rFonts w:ascii="Times New Roman" w:hAnsi="Times New Roman" w:cs="Times New Roman"/>
          <w:sz w:val="22"/>
          <w:szCs w:val="22"/>
        </w:rPr>
        <w:t> </w:t>
      </w:r>
      <w:r w:rsidRPr="00E42142">
        <w:rPr>
          <w:rFonts w:ascii="Times New Roman" w:hAnsi="Times New Roman" w:cs="Times New Roman"/>
          <w:sz w:val="22"/>
          <w:szCs w:val="22"/>
        </w:rPr>
        <w:t>» de NégaWatt ou du Shift Project (PTEF) prévoient des hausses de la demande !</w:t>
      </w:r>
    </w:p>
    <w:p w:rsidR="001634B3" w:rsidRPr="00E42142" w:rsidRDefault="001634B3" w:rsidP="00E42142">
      <w:pPr>
        <w:spacing w:before="120" w:after="0" w:line="360" w:lineRule="auto"/>
        <w:rPr>
          <w:rFonts w:ascii="Times New Roman" w:hAnsi="Times New Roman" w:cs="Times New Roman"/>
          <w:sz w:val="22"/>
          <w:szCs w:val="22"/>
        </w:rPr>
      </w:pPr>
    </w:p>
    <w:p w:rsidR="007038A0" w:rsidRDefault="00415463" w:rsidP="0021476B">
      <w:pPr>
        <w:spacing w:before="120" w:after="0" w:line="360" w:lineRule="auto"/>
        <w:jc w:val="center"/>
        <w:rPr>
          <w:rFonts w:ascii="Times New Roman" w:hAnsi="Times New Roman" w:cs="Times New Roman"/>
          <w:color w:val="FF0000"/>
          <w:sz w:val="22"/>
          <w:szCs w:val="22"/>
        </w:rPr>
      </w:pPr>
      <w:r w:rsidRPr="003900E6">
        <w:rPr>
          <w:rFonts w:ascii="Times New Roman" w:hAnsi="Times New Roman" w:cs="Times New Roman"/>
          <w:b/>
          <w:color w:val="FF0000"/>
          <w:sz w:val="22"/>
          <w:szCs w:val="22"/>
        </w:rPr>
        <w:t>(</w:t>
      </w:r>
      <w:r w:rsidR="007038A0">
        <w:rPr>
          <w:rFonts w:ascii="Times New Roman" w:hAnsi="Times New Roman" w:cs="Times New Roman"/>
          <w:b/>
          <w:color w:val="FF0000"/>
          <w:sz w:val="22"/>
          <w:szCs w:val="22"/>
        </w:rPr>
        <w:t>(</w:t>
      </w:r>
      <w:r w:rsidRPr="003900E6">
        <w:rPr>
          <w:rFonts w:ascii="Times New Roman" w:hAnsi="Times New Roman" w:cs="Times New Roman"/>
          <w:b/>
          <w:color w:val="FF0000"/>
          <w:sz w:val="22"/>
          <w:szCs w:val="22"/>
        </w:rPr>
        <w:t>(Figure :</w:t>
      </w:r>
      <w:r w:rsidRPr="003900E6">
        <w:rPr>
          <w:rFonts w:ascii="Times New Roman" w:hAnsi="Times New Roman" w:cs="Times New Roman"/>
          <w:color w:val="FF0000"/>
          <w:sz w:val="22"/>
          <w:szCs w:val="22"/>
        </w:rPr>
        <w:t xml:space="preserve"> </w:t>
      </w:r>
      <w:r w:rsidR="001634B3" w:rsidRPr="00362B01">
        <w:rPr>
          <w:rFonts w:ascii="Calibri" w:hAnsi="Calibri" w:cs="Calibri"/>
          <w:b/>
          <w:sz w:val="22"/>
          <w:szCs w:val="22"/>
        </w:rPr>
        <w:t xml:space="preserve">LA CONSOMMATION D’ACIER EN FRANCE EN </w:t>
      </w:r>
      <w:r w:rsidR="007038A0" w:rsidRPr="00362B01">
        <w:rPr>
          <w:rFonts w:ascii="Calibri" w:hAnsi="Calibri" w:cs="Calibri"/>
          <w:b/>
          <w:sz w:val="22"/>
          <w:szCs w:val="22"/>
        </w:rPr>
        <w:t>2050</w:t>
      </w:r>
      <w:r w:rsidR="0021476B" w:rsidRPr="00362B01">
        <w:rPr>
          <w:rFonts w:ascii="Calibri" w:hAnsi="Calibri" w:cs="Calibri"/>
          <w:b/>
          <w:sz w:val="22"/>
          <w:szCs w:val="22"/>
        </w:rPr>
        <w:br/>
      </w:r>
      <w:r w:rsidRPr="00362B01">
        <w:rPr>
          <w:rFonts w:ascii="Calibri" w:hAnsi="Calibri" w:cs="Calibri"/>
          <w:b/>
          <w:sz w:val="22"/>
          <w:szCs w:val="22"/>
        </w:rPr>
        <w:t>selon différents scenarios</w:t>
      </w:r>
      <w:r w:rsidR="007038A0" w:rsidRPr="007038A0">
        <w:rPr>
          <w:rFonts w:ascii="Times New Roman" w:hAnsi="Times New Roman" w:cs="Times New Roman"/>
          <w:color w:val="FF0000"/>
          <w:sz w:val="22"/>
          <w:szCs w:val="22"/>
        </w:rPr>
        <w:t>)))</w:t>
      </w:r>
    </w:p>
    <w:p w:rsidR="00A65909" w:rsidRPr="00A65909" w:rsidRDefault="00A65909" w:rsidP="00A65909">
      <w:pPr>
        <w:spacing w:before="120" w:after="0" w:line="360" w:lineRule="auto"/>
        <w:jc w:val="left"/>
        <w:rPr>
          <w:rFonts w:ascii="Calibri" w:hAnsi="Calibri" w:cs="Times New Roman"/>
          <w:sz w:val="18"/>
          <w:szCs w:val="18"/>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A65909">
        <w:rPr>
          <w:rFonts w:ascii="Calibri" w:hAnsi="Calibri" w:cs="Times New Roman"/>
          <w:sz w:val="18"/>
          <w:szCs w:val="18"/>
        </w:rPr>
        <w:t>(Mt)</w:t>
      </w:r>
    </w:p>
    <w:p w:rsidR="007038A0" w:rsidRDefault="007038A0" w:rsidP="007038A0">
      <w:pPr>
        <w:spacing w:before="120" w:after="0" w:line="360" w:lineRule="auto"/>
        <w:jc w:val="center"/>
        <w:rPr>
          <w:rFonts w:ascii="Arial Regular" w:hAnsi="Arial Regular" w:cs="Arial Regular"/>
        </w:rPr>
      </w:pPr>
      <w:r>
        <w:rPr>
          <w:rFonts w:ascii="Arial Regular" w:hAnsi="Arial Regular" w:cs="Arial Regular"/>
          <w:noProof/>
          <w:lang w:eastAsia="fr-FR"/>
        </w:rPr>
        <w:drawing>
          <wp:inline distT="0" distB="0" distL="114300" distR="114300" wp14:anchorId="7B58FC2A" wp14:editId="1FCEDFC8">
            <wp:extent cx="3361386" cy="2398091"/>
            <wp:effectExtent l="0" t="0" r="10795" b="254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38A0" w:rsidRPr="00EB7CAF" w:rsidRDefault="00A65909" w:rsidP="007038A0">
      <w:pPr>
        <w:spacing w:before="120" w:after="0" w:line="360" w:lineRule="auto"/>
        <w:rPr>
          <w:rFonts w:ascii="Calibri" w:hAnsi="Calibri" w:cs="Arial Regular"/>
          <w:sz w:val="20"/>
          <w:szCs w:val="20"/>
        </w:rPr>
      </w:pPr>
      <w:r w:rsidRPr="00EB7CAF">
        <w:rPr>
          <w:rFonts w:ascii="Times New Roman" w:hAnsi="Times New Roman" w:cs="Times New Roman"/>
          <w:color w:val="FF0000"/>
          <w:sz w:val="20"/>
          <w:szCs w:val="20"/>
        </w:rPr>
        <w:t>((((Frédo : à la place d’Ademe, écrire</w:t>
      </w:r>
      <w:r w:rsidRPr="00EB7CAF">
        <w:rPr>
          <w:rFonts w:ascii="Calibri" w:hAnsi="Calibri" w:cs="Arial Regular"/>
          <w:color w:val="FF0000"/>
          <w:sz w:val="20"/>
          <w:szCs w:val="20"/>
        </w:rPr>
        <w:t xml:space="preserve"> </w:t>
      </w:r>
      <w:r w:rsidRPr="00EB7CAF">
        <w:rPr>
          <w:rFonts w:ascii="Calibri" w:hAnsi="Calibri" w:cs="Arial Regular"/>
          <w:sz w:val="20"/>
          <w:szCs w:val="20"/>
        </w:rPr>
        <w:t>ADEME</w:t>
      </w:r>
      <w:r w:rsidRPr="00EB7CAF">
        <w:rPr>
          <w:rFonts w:ascii="Times New Roman" w:hAnsi="Times New Roman" w:cs="Times New Roman"/>
          <w:color w:val="FF0000"/>
          <w:sz w:val="20"/>
          <w:szCs w:val="20"/>
        </w:rPr>
        <w:t>)))))</w:t>
      </w:r>
    </w:p>
    <w:p w:rsidR="00AF4E89" w:rsidRPr="00E42142" w:rsidRDefault="00AF4E89" w:rsidP="00E42142">
      <w:pPr>
        <w:spacing w:before="120" w:after="0" w:line="360" w:lineRule="auto"/>
        <w:rPr>
          <w:rFonts w:ascii="Times New Roman" w:hAnsi="Times New Roman" w:cs="Times New Roman"/>
          <w:sz w:val="22"/>
          <w:szCs w:val="22"/>
        </w:rPr>
      </w:pPr>
    </w:p>
    <w:p w:rsidR="00AF4E89" w:rsidRDefault="00EB7CAF" w:rsidP="00E42142">
      <w:pPr>
        <w:spacing w:before="120" w:after="0" w:line="360" w:lineRule="auto"/>
        <w:rPr>
          <w:rFonts w:ascii="Times New Roman" w:hAnsi="Times New Roman" w:cs="Times New Roman"/>
          <w:sz w:val="22"/>
          <w:szCs w:val="22"/>
        </w:rPr>
      </w:pPr>
      <w:r>
        <w:rPr>
          <w:rFonts w:ascii="Times New Roman" w:hAnsi="Times New Roman" w:cs="Times New Roman"/>
          <w:sz w:val="22"/>
          <w:szCs w:val="22"/>
        </w:rPr>
        <w:t>N</w:t>
      </w:r>
      <w:r w:rsidR="00415463" w:rsidRPr="00E42142">
        <w:rPr>
          <w:rFonts w:ascii="Times New Roman" w:hAnsi="Times New Roman" w:cs="Times New Roman"/>
          <w:sz w:val="22"/>
          <w:szCs w:val="22"/>
        </w:rPr>
        <w:t>e pas avoir peur des surcapacités momentanées de production d’acier en France et en Europe</w:t>
      </w:r>
      <w:r>
        <w:rPr>
          <w:rFonts w:ascii="Times New Roman" w:hAnsi="Times New Roman" w:cs="Times New Roman"/>
          <w:sz w:val="22"/>
          <w:szCs w:val="22"/>
        </w:rPr>
        <w:t xml:space="preserve"> semble relever d’une bonne stratégie</w:t>
      </w:r>
      <w:r w:rsidR="00415463" w:rsidRPr="00E42142">
        <w:rPr>
          <w:rFonts w:ascii="Times New Roman" w:hAnsi="Times New Roman" w:cs="Times New Roman"/>
          <w:sz w:val="22"/>
          <w:szCs w:val="22"/>
        </w:rPr>
        <w:t xml:space="preserve"> : cela permettra d’accueillir la croissance à venir de la demande d’acier. </w:t>
      </w:r>
      <w:r>
        <w:rPr>
          <w:rFonts w:ascii="Times New Roman" w:hAnsi="Times New Roman" w:cs="Times New Roman"/>
          <w:sz w:val="22"/>
          <w:szCs w:val="22"/>
        </w:rPr>
        <w:t>Or, p</w:t>
      </w:r>
      <w:r w:rsidR="00415463" w:rsidRPr="00E42142">
        <w:rPr>
          <w:rFonts w:ascii="Times New Roman" w:hAnsi="Times New Roman" w:cs="Times New Roman"/>
          <w:sz w:val="22"/>
          <w:szCs w:val="22"/>
        </w:rPr>
        <w:t>our ne pas perdre les marchés, c’est maintenant qu’il faut faire les investissements, pas quand la demande s’accroîtra et q</w:t>
      </w:r>
      <w:r w:rsidR="003900E6">
        <w:rPr>
          <w:rFonts w:ascii="Times New Roman" w:hAnsi="Times New Roman" w:cs="Times New Roman"/>
          <w:sz w:val="22"/>
          <w:szCs w:val="22"/>
        </w:rPr>
        <w:t>u’on ne pourra pas y répondre !</w:t>
      </w:r>
    </w:p>
    <w:p w:rsidR="003900E6" w:rsidRPr="00E42142" w:rsidRDefault="003900E6" w:rsidP="00E42142">
      <w:pPr>
        <w:spacing w:before="120" w:after="0" w:line="360" w:lineRule="auto"/>
        <w:rPr>
          <w:rFonts w:ascii="Times New Roman" w:hAnsi="Times New Roman" w:cs="Times New Roman"/>
          <w:b/>
          <w:sz w:val="22"/>
          <w:szCs w:val="22"/>
          <w:u w:val="single"/>
        </w:rPr>
      </w:pPr>
    </w:p>
    <w:p w:rsidR="00AF4E89" w:rsidRPr="00E42142" w:rsidRDefault="003900E6" w:rsidP="00E42142">
      <w:pPr>
        <w:pStyle w:val="Titre1"/>
        <w:numPr>
          <w:ilvl w:val="0"/>
          <w:numId w:val="0"/>
        </w:numPr>
        <w:spacing w:before="120" w:after="0" w:line="360" w:lineRule="auto"/>
        <w:ind w:left="357" w:hanging="357"/>
        <w:rPr>
          <w:rFonts w:ascii="Times New Roman" w:hAnsi="Times New Roman" w:cs="Times New Roman"/>
          <w:sz w:val="22"/>
          <w:szCs w:val="22"/>
          <w:u w:val="none"/>
        </w:rPr>
      </w:pPr>
      <w:r>
        <w:rPr>
          <w:rFonts w:ascii="Times New Roman" w:hAnsi="Times New Roman" w:cs="Times New Roman"/>
          <w:sz w:val="22"/>
          <w:szCs w:val="22"/>
          <w:u w:val="none"/>
        </w:rPr>
        <w:t>DÉ</w:t>
      </w:r>
      <w:r w:rsidRPr="00E42142">
        <w:rPr>
          <w:rFonts w:ascii="Times New Roman" w:hAnsi="Times New Roman" w:cs="Times New Roman"/>
          <w:sz w:val="22"/>
          <w:szCs w:val="22"/>
          <w:u w:val="none"/>
        </w:rPr>
        <w:t>CARBONER LA PRODUCTION D’ACIER, C’EST POSSIBLE</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Différentes voies technologiques permettent d’envisager cette décarbonation. À ce jour, trois voies sont plus ou moins matures :</w:t>
      </w:r>
    </w:p>
    <w:p w:rsidR="00AF4E89" w:rsidRPr="00E42142" w:rsidRDefault="003900E6" w:rsidP="003900E6">
      <w:pPr>
        <w:pStyle w:val="Paragraphedeliste"/>
        <w:spacing w:before="120" w:after="0" w:line="360" w:lineRule="auto"/>
        <w:ind w:left="0"/>
        <w:rPr>
          <w:rFonts w:ascii="Times New Roman" w:hAnsi="Times New Roman" w:cs="Times New Roman"/>
          <w:sz w:val="22"/>
          <w:szCs w:val="22"/>
        </w:rPr>
      </w:pPr>
      <w:r>
        <w:rPr>
          <w:rFonts w:ascii="Times New Roman" w:hAnsi="Times New Roman" w:cs="Times New Roman"/>
          <w:sz w:val="22"/>
          <w:szCs w:val="22"/>
        </w:rPr>
        <w:t>– l</w:t>
      </w:r>
      <w:r w:rsidR="00415463" w:rsidRPr="00E42142">
        <w:rPr>
          <w:rFonts w:ascii="Times New Roman" w:hAnsi="Times New Roman" w:cs="Times New Roman"/>
          <w:sz w:val="22"/>
          <w:szCs w:val="22"/>
        </w:rPr>
        <w:t>a filière de recyclage de la fe</w:t>
      </w:r>
      <w:r>
        <w:rPr>
          <w:rFonts w:ascii="Times New Roman" w:hAnsi="Times New Roman" w:cs="Times New Roman"/>
          <w:sz w:val="22"/>
          <w:szCs w:val="22"/>
        </w:rPr>
        <w:t xml:space="preserve">rraille dans un four électrique </w:t>
      </w:r>
      <w:r w:rsidR="00415463" w:rsidRPr="00E42142">
        <w:rPr>
          <w:rFonts w:ascii="Times New Roman" w:hAnsi="Times New Roman" w:cs="Times New Roman"/>
          <w:sz w:val="22"/>
          <w:szCs w:val="22"/>
        </w:rPr>
        <w:t>(EAF) ;</w:t>
      </w:r>
    </w:p>
    <w:p w:rsidR="00AF4E89" w:rsidRPr="00E42142" w:rsidRDefault="003900E6" w:rsidP="003900E6">
      <w:pPr>
        <w:pStyle w:val="Paragraphedeliste"/>
        <w:spacing w:before="120" w:after="0" w:line="360" w:lineRule="auto"/>
        <w:ind w:left="0"/>
        <w:rPr>
          <w:rFonts w:ascii="Times New Roman" w:hAnsi="Times New Roman" w:cs="Times New Roman"/>
          <w:sz w:val="22"/>
          <w:szCs w:val="22"/>
        </w:rPr>
      </w:pPr>
      <w:r>
        <w:rPr>
          <w:rFonts w:ascii="Times New Roman" w:hAnsi="Times New Roman" w:cs="Times New Roman"/>
          <w:sz w:val="22"/>
          <w:szCs w:val="22"/>
        </w:rPr>
        <w:t>– l</w:t>
      </w:r>
      <w:r w:rsidR="00415463" w:rsidRPr="00E42142">
        <w:rPr>
          <w:rFonts w:ascii="Times New Roman" w:hAnsi="Times New Roman" w:cs="Times New Roman"/>
          <w:sz w:val="22"/>
          <w:szCs w:val="22"/>
        </w:rPr>
        <w:t>a filière intégrée associant à un four électrique une unité de réduction du minerai de fer (DRI) ;</w:t>
      </w:r>
    </w:p>
    <w:p w:rsidR="00AF4E89" w:rsidRDefault="003900E6" w:rsidP="003900E6">
      <w:pPr>
        <w:pStyle w:val="Paragraphedeliste"/>
        <w:spacing w:before="120" w:after="0" w:line="360" w:lineRule="auto"/>
        <w:ind w:left="0"/>
        <w:rPr>
          <w:rFonts w:ascii="Times New Roman" w:hAnsi="Times New Roman" w:cs="Times New Roman"/>
          <w:sz w:val="22"/>
          <w:szCs w:val="22"/>
        </w:rPr>
      </w:pPr>
      <w:r>
        <w:rPr>
          <w:rFonts w:ascii="Times New Roman" w:hAnsi="Times New Roman" w:cs="Times New Roman"/>
          <w:sz w:val="22"/>
          <w:szCs w:val="22"/>
        </w:rPr>
        <w:t>– l</w:t>
      </w:r>
      <w:r w:rsidR="00415463" w:rsidRPr="00E42142">
        <w:rPr>
          <w:rFonts w:ascii="Times New Roman" w:hAnsi="Times New Roman" w:cs="Times New Roman"/>
          <w:sz w:val="22"/>
          <w:szCs w:val="22"/>
        </w:rPr>
        <w:t>a captation et l’usage du carbone (CCUS) émis par des hauts-fourneaux classiques.</w:t>
      </w:r>
    </w:p>
    <w:p w:rsidR="0021476B" w:rsidRDefault="0021476B" w:rsidP="003900E6">
      <w:pPr>
        <w:pStyle w:val="Paragraphedeliste"/>
        <w:spacing w:before="120" w:after="0" w:line="360" w:lineRule="auto"/>
        <w:ind w:left="0"/>
        <w:rPr>
          <w:rFonts w:ascii="Times New Roman" w:hAnsi="Times New Roman" w:cs="Times New Roman"/>
          <w:sz w:val="22"/>
          <w:szCs w:val="22"/>
        </w:rPr>
      </w:pPr>
    </w:p>
    <w:p w:rsidR="0021476B" w:rsidRPr="00E42142" w:rsidRDefault="0021476B" w:rsidP="003900E6">
      <w:pPr>
        <w:pStyle w:val="Paragraphedeliste"/>
        <w:spacing w:before="120" w:after="0" w:line="360" w:lineRule="auto"/>
        <w:ind w:left="0"/>
        <w:rPr>
          <w:rFonts w:ascii="Times New Roman" w:hAnsi="Times New Roman" w:cs="Times New Roman"/>
          <w:sz w:val="22"/>
          <w:szCs w:val="22"/>
        </w:rPr>
      </w:pPr>
    </w:p>
    <w:p w:rsidR="00AF4E89" w:rsidRPr="00E42142" w:rsidRDefault="00415463" w:rsidP="0021476B">
      <w:pPr>
        <w:spacing w:before="120" w:after="0" w:line="360" w:lineRule="auto"/>
        <w:jc w:val="center"/>
        <w:rPr>
          <w:rFonts w:ascii="Times New Roman" w:hAnsi="Times New Roman" w:cs="Times New Roman"/>
          <w:sz w:val="22"/>
          <w:szCs w:val="22"/>
        </w:rPr>
      </w:pPr>
      <w:r w:rsidRPr="003900E6">
        <w:rPr>
          <w:rFonts w:ascii="Times New Roman" w:hAnsi="Times New Roman" w:cs="Times New Roman"/>
          <w:b/>
          <w:color w:val="FF0000"/>
          <w:sz w:val="22"/>
          <w:szCs w:val="22"/>
        </w:rPr>
        <w:t>((</w:t>
      </w:r>
      <w:r w:rsidR="0021476B">
        <w:rPr>
          <w:rFonts w:ascii="Times New Roman" w:hAnsi="Times New Roman" w:cs="Times New Roman"/>
          <w:b/>
          <w:color w:val="FF0000"/>
          <w:sz w:val="22"/>
          <w:szCs w:val="22"/>
        </w:rPr>
        <w:t>(</w:t>
      </w:r>
      <w:r w:rsidRPr="003900E6">
        <w:rPr>
          <w:rFonts w:ascii="Times New Roman" w:hAnsi="Times New Roman" w:cs="Times New Roman"/>
          <w:b/>
          <w:color w:val="FF0000"/>
          <w:sz w:val="22"/>
          <w:szCs w:val="22"/>
        </w:rPr>
        <w:t>Tableau :</w:t>
      </w:r>
      <w:r w:rsidRPr="003900E6">
        <w:rPr>
          <w:rFonts w:ascii="Times New Roman" w:hAnsi="Times New Roman" w:cs="Times New Roman"/>
          <w:color w:val="FF0000"/>
          <w:sz w:val="22"/>
          <w:szCs w:val="22"/>
        </w:rPr>
        <w:t xml:space="preserve"> </w:t>
      </w:r>
      <w:r w:rsidR="00EB7CAF" w:rsidRPr="00362B01">
        <w:rPr>
          <w:rFonts w:ascii="Calibri" w:hAnsi="Calibri" w:cs="Calibri"/>
          <w:b/>
          <w:sz w:val="22"/>
          <w:szCs w:val="22"/>
        </w:rPr>
        <w:t>LA MATURIT</w:t>
      </w:r>
      <w:r w:rsidR="00EB7CAF">
        <w:rPr>
          <w:rFonts w:ascii="Calibri" w:hAnsi="Calibri" w:cs="Calibri"/>
          <w:b/>
          <w:sz w:val="22"/>
          <w:szCs w:val="22"/>
        </w:rPr>
        <w:t>É</w:t>
      </w:r>
      <w:r w:rsidR="00EB7CAF" w:rsidRPr="00362B01">
        <w:rPr>
          <w:rFonts w:ascii="Calibri" w:hAnsi="Calibri" w:cs="Calibri"/>
          <w:b/>
          <w:sz w:val="22"/>
          <w:szCs w:val="22"/>
        </w:rPr>
        <w:t xml:space="preserve"> INDUSTRIELLE DES TECHNOLOGIES</w:t>
      </w:r>
      <w:r w:rsidR="00EB7CAF" w:rsidRPr="00362B01">
        <w:rPr>
          <w:rFonts w:ascii="Calibri" w:hAnsi="Calibri" w:cs="Calibri"/>
          <w:b/>
          <w:sz w:val="22"/>
          <w:szCs w:val="22"/>
        </w:rPr>
        <w:br/>
        <w:t>DE D</w:t>
      </w:r>
      <w:r w:rsidR="00EB7CAF">
        <w:rPr>
          <w:rFonts w:ascii="Calibri" w:hAnsi="Calibri" w:cs="Calibri"/>
          <w:b/>
          <w:sz w:val="22"/>
          <w:szCs w:val="22"/>
        </w:rPr>
        <w:t>É</w:t>
      </w:r>
      <w:r w:rsidR="00EB7CAF" w:rsidRPr="00362B01">
        <w:rPr>
          <w:rFonts w:ascii="Calibri" w:hAnsi="Calibri" w:cs="Calibri"/>
          <w:b/>
          <w:sz w:val="22"/>
          <w:szCs w:val="22"/>
        </w:rPr>
        <w:t>CARBONATION DE LA PRODUCTION D’ACIER</w:t>
      </w:r>
      <w:r w:rsidRPr="0021476B">
        <w:rPr>
          <w:rFonts w:ascii="Times New Roman" w:hAnsi="Times New Roman" w:cs="Times New Roman"/>
          <w:b/>
          <w:color w:val="FF0000"/>
          <w:sz w:val="22"/>
          <w:szCs w:val="22"/>
        </w:rPr>
        <w:t>))</w:t>
      </w:r>
      <w:r w:rsidR="0021476B" w:rsidRPr="0021476B">
        <w:rPr>
          <w:rFonts w:ascii="Times New Roman" w:hAnsi="Times New Roman" w:cs="Times New Roman"/>
          <w:b/>
          <w:color w:val="FF0000"/>
          <w:sz w:val="22"/>
          <w:szCs w:val="22"/>
        </w:rPr>
        <w:t>)</w:t>
      </w:r>
    </w:p>
    <w:p w:rsidR="0021476B" w:rsidRDefault="0021476B" w:rsidP="0021476B">
      <w:pPr>
        <w:spacing w:before="120" w:after="0" w:line="360" w:lineRule="auto"/>
        <w:rPr>
          <w:rFonts w:ascii="Arial Regular" w:hAnsi="Arial Regular" w:cs="Arial Regular"/>
        </w:rPr>
      </w:pPr>
    </w:p>
    <w:tbl>
      <w:tblPr>
        <w:tblpPr w:leftFromText="141" w:rightFromText="141" w:vertAnchor="text" w:horzAnchor="page" w:tblpX="1493" w:tblpY="27"/>
        <w:tblW w:w="6122" w:type="dxa"/>
        <w:tblCellMar>
          <w:left w:w="0" w:type="dxa"/>
          <w:right w:w="0" w:type="dxa"/>
        </w:tblCellMar>
        <w:tblLook w:val="04A0" w:firstRow="1" w:lastRow="0" w:firstColumn="1" w:lastColumn="0" w:noHBand="0" w:noVBand="1"/>
      </w:tblPr>
      <w:tblGrid>
        <w:gridCol w:w="2308"/>
        <w:gridCol w:w="1602"/>
        <w:gridCol w:w="2212"/>
      </w:tblGrid>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4F6228"/>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color w:val="FFFFFF" w:themeColor="background1"/>
                <w:sz w:val="20"/>
                <w:szCs w:val="20"/>
              </w:rPr>
            </w:pPr>
            <w:r w:rsidRPr="0021476B">
              <w:rPr>
                <w:rFonts w:ascii="Calibri" w:hAnsi="Calibri" w:cs="Calibri"/>
                <w:b/>
                <w:bCs/>
                <w:color w:val="FFFFFF" w:themeColor="background1"/>
                <w:sz w:val="20"/>
                <w:szCs w:val="20"/>
              </w:rPr>
              <w:t>Technologie</w:t>
            </w:r>
          </w:p>
        </w:tc>
        <w:tc>
          <w:tcPr>
            <w:tcW w:w="1602" w:type="dxa"/>
            <w:tcBorders>
              <w:top w:val="single" w:sz="8" w:space="0" w:color="FFFFFF"/>
              <w:left w:val="single" w:sz="8" w:space="0" w:color="FFFFFF"/>
              <w:bottom w:val="single" w:sz="8" w:space="0" w:color="FFFFFF"/>
              <w:right w:val="single" w:sz="8" w:space="0" w:color="FFFFFF"/>
            </w:tcBorders>
            <w:shd w:val="clear" w:color="auto" w:fill="4F6228"/>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color w:val="FFFFFF" w:themeColor="background1"/>
                <w:sz w:val="20"/>
                <w:szCs w:val="20"/>
              </w:rPr>
            </w:pPr>
            <w:r w:rsidRPr="0021476B">
              <w:rPr>
                <w:rFonts w:ascii="Calibri" w:hAnsi="Calibri" w:cs="Calibri"/>
                <w:b/>
                <w:bCs/>
                <w:color w:val="FFFFFF" w:themeColor="background1"/>
                <w:sz w:val="20"/>
                <w:szCs w:val="20"/>
              </w:rPr>
              <w:t>Réduction CO₂/filière HF actuelle</w:t>
            </w:r>
          </w:p>
        </w:tc>
        <w:tc>
          <w:tcPr>
            <w:tcW w:w="2212" w:type="dxa"/>
            <w:tcBorders>
              <w:top w:val="single" w:sz="8" w:space="0" w:color="FFFFFF"/>
              <w:left w:val="single" w:sz="8" w:space="0" w:color="FFFFFF"/>
              <w:bottom w:val="single" w:sz="8" w:space="0" w:color="FFFFFF"/>
              <w:right w:val="single" w:sz="8" w:space="0" w:color="FFFFFF"/>
            </w:tcBorders>
            <w:shd w:val="clear" w:color="auto" w:fill="4F6228"/>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color w:val="FFFFFF" w:themeColor="background1"/>
                <w:sz w:val="20"/>
                <w:szCs w:val="20"/>
              </w:rPr>
            </w:pPr>
            <w:r w:rsidRPr="0021476B">
              <w:rPr>
                <w:rFonts w:ascii="Calibri" w:hAnsi="Calibri" w:cs="Calibri"/>
                <w:b/>
                <w:bCs/>
                <w:color w:val="FFFFFF" w:themeColor="background1"/>
                <w:sz w:val="20"/>
                <w:szCs w:val="20"/>
              </w:rPr>
              <w:t>Maturité industrielle</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DRI + gaz naturel + EAF</w:t>
            </w:r>
          </w:p>
        </w:tc>
        <w:tc>
          <w:tcPr>
            <w:tcW w:w="160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50-60 %</w:t>
            </w:r>
          </w:p>
        </w:tc>
        <w:tc>
          <w:tcPr>
            <w:tcW w:w="221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Opérationnelle</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DRI + H₂ + EAF</w:t>
            </w:r>
          </w:p>
        </w:tc>
        <w:tc>
          <w:tcPr>
            <w:tcW w:w="160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85-95 %</w:t>
            </w:r>
          </w:p>
        </w:tc>
        <w:tc>
          <w:tcPr>
            <w:tcW w:w="221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Émergente</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jc w:val="left"/>
              <w:rPr>
                <w:rFonts w:ascii="Calibri" w:hAnsi="Calibri" w:cs="Calibri"/>
                <w:sz w:val="20"/>
                <w:szCs w:val="20"/>
              </w:rPr>
            </w:pPr>
            <w:r w:rsidRPr="0021476B">
              <w:rPr>
                <w:rFonts w:ascii="Calibri" w:hAnsi="Calibri" w:cs="Calibri"/>
                <w:sz w:val="20"/>
                <w:szCs w:val="20"/>
              </w:rPr>
              <w:t>Four à arc électrique (ferraille)</w:t>
            </w:r>
          </w:p>
        </w:tc>
        <w:tc>
          <w:tcPr>
            <w:tcW w:w="160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70-90 %</w:t>
            </w:r>
          </w:p>
        </w:tc>
        <w:tc>
          <w:tcPr>
            <w:tcW w:w="221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Mature</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CCUS sur HF</w:t>
            </w:r>
          </w:p>
        </w:tc>
        <w:tc>
          <w:tcPr>
            <w:tcW w:w="160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50-70 %</w:t>
            </w:r>
          </w:p>
        </w:tc>
        <w:tc>
          <w:tcPr>
            <w:tcW w:w="221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En développement</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Biomasse dans HF</w:t>
            </w:r>
          </w:p>
        </w:tc>
        <w:tc>
          <w:tcPr>
            <w:tcW w:w="160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10-30 %</w:t>
            </w:r>
          </w:p>
        </w:tc>
        <w:tc>
          <w:tcPr>
            <w:tcW w:w="2212" w:type="dxa"/>
            <w:tcBorders>
              <w:top w:val="single" w:sz="8" w:space="0" w:color="FFFFFF"/>
              <w:left w:val="single" w:sz="8" w:space="0" w:color="FFFFFF"/>
              <w:bottom w:val="single" w:sz="8" w:space="0" w:color="FFFFFF"/>
              <w:right w:val="single" w:sz="8" w:space="0" w:color="FFFFFF"/>
            </w:tcBorders>
            <w:shd w:val="clear" w:color="auto" w:fill="FFFFFF"/>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Opérationnelle</w:t>
            </w:r>
          </w:p>
        </w:tc>
      </w:tr>
      <w:tr w:rsidR="0021476B" w:rsidRPr="0021476B" w:rsidTr="0021476B">
        <w:trPr>
          <w:trHeight w:val="283"/>
        </w:trPr>
        <w:tc>
          <w:tcPr>
            <w:tcW w:w="2308"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Technologies électrochimiques</w:t>
            </w:r>
          </w:p>
        </w:tc>
        <w:tc>
          <w:tcPr>
            <w:tcW w:w="160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jc w:val="center"/>
              <w:rPr>
                <w:rFonts w:ascii="Calibri" w:hAnsi="Calibri" w:cs="Calibri"/>
                <w:sz w:val="20"/>
                <w:szCs w:val="20"/>
              </w:rPr>
            </w:pPr>
            <w:r w:rsidRPr="0021476B">
              <w:rPr>
                <w:rFonts w:ascii="Calibri" w:hAnsi="Calibri" w:cs="Calibri"/>
                <w:sz w:val="20"/>
                <w:szCs w:val="20"/>
              </w:rPr>
              <w:t>Jusqu’à 100 %</w:t>
            </w:r>
          </w:p>
        </w:tc>
        <w:tc>
          <w:tcPr>
            <w:tcW w:w="2212" w:type="dxa"/>
            <w:tcBorders>
              <w:top w:val="single" w:sz="8" w:space="0" w:color="FFFFFF"/>
              <w:left w:val="single" w:sz="8" w:space="0" w:color="FFFFFF"/>
              <w:bottom w:val="single" w:sz="8" w:space="0" w:color="FFFFFF"/>
              <w:right w:val="single" w:sz="8" w:space="0" w:color="FFFFFF"/>
            </w:tcBorders>
            <w:shd w:val="clear" w:color="auto" w:fill="F2F6EA"/>
            <w:tcMar>
              <w:top w:w="12" w:type="dxa"/>
              <w:left w:w="12" w:type="dxa"/>
              <w:bottom w:w="0" w:type="dxa"/>
              <w:right w:w="12" w:type="dxa"/>
            </w:tcMar>
            <w:vAlign w:val="center"/>
          </w:tcPr>
          <w:p w:rsidR="0021476B" w:rsidRPr="0021476B" w:rsidRDefault="0021476B" w:rsidP="0021476B">
            <w:pPr>
              <w:spacing w:before="120" w:after="0" w:line="360" w:lineRule="auto"/>
              <w:rPr>
                <w:rFonts w:ascii="Calibri" w:hAnsi="Calibri" w:cs="Calibri"/>
                <w:sz w:val="20"/>
                <w:szCs w:val="20"/>
              </w:rPr>
            </w:pPr>
            <w:r w:rsidRPr="0021476B">
              <w:rPr>
                <w:rFonts w:ascii="Calibri" w:hAnsi="Calibri" w:cs="Calibri"/>
                <w:sz w:val="20"/>
                <w:szCs w:val="20"/>
              </w:rPr>
              <w:t>Pilote/démonstration</w:t>
            </w:r>
          </w:p>
        </w:tc>
      </w:tr>
    </w:tbl>
    <w:p w:rsidR="0021476B" w:rsidRPr="0021476B" w:rsidRDefault="0021476B" w:rsidP="0021476B">
      <w:pPr>
        <w:spacing w:before="120" w:after="0" w:line="360" w:lineRule="auto"/>
        <w:rPr>
          <w:rFonts w:ascii="Calibri" w:hAnsi="Calibri" w:cs="Calibri"/>
        </w:rPr>
      </w:pPr>
    </w:p>
    <w:p w:rsidR="0021476B" w:rsidRPr="0021476B" w:rsidRDefault="0021476B" w:rsidP="0021476B">
      <w:pPr>
        <w:spacing w:before="120" w:after="0" w:line="360" w:lineRule="auto"/>
        <w:rPr>
          <w:rFonts w:ascii="Calibri" w:hAnsi="Calibri" w:cs="Calibri"/>
        </w:rPr>
      </w:pPr>
    </w:p>
    <w:p w:rsidR="0021476B" w:rsidRPr="0021476B" w:rsidRDefault="0021476B" w:rsidP="0021476B">
      <w:pPr>
        <w:spacing w:before="120" w:after="0" w:line="360" w:lineRule="auto"/>
        <w:rPr>
          <w:rFonts w:ascii="Calibri" w:hAnsi="Calibri" w:cs="Calibri"/>
        </w:rPr>
      </w:pPr>
    </w:p>
    <w:p w:rsidR="0021476B" w:rsidRPr="0021476B" w:rsidRDefault="0021476B" w:rsidP="0021476B">
      <w:pPr>
        <w:spacing w:before="120" w:after="0" w:line="360" w:lineRule="auto"/>
        <w:rPr>
          <w:rFonts w:ascii="Calibri" w:hAnsi="Calibri" w:cs="Calibri"/>
        </w:rPr>
      </w:pPr>
    </w:p>
    <w:p w:rsidR="0021476B" w:rsidRPr="0021476B" w:rsidRDefault="0021476B" w:rsidP="0021476B">
      <w:pPr>
        <w:spacing w:before="120" w:after="0" w:line="360" w:lineRule="auto"/>
        <w:rPr>
          <w:rFonts w:ascii="Calibri" w:hAnsi="Calibri" w:cs="Calibri"/>
        </w:rPr>
      </w:pPr>
    </w:p>
    <w:p w:rsidR="0021476B" w:rsidRDefault="0021476B" w:rsidP="0021476B">
      <w:pPr>
        <w:spacing w:before="120" w:after="0" w:line="360" w:lineRule="auto"/>
        <w:rPr>
          <w:rFonts w:ascii="Arial Regular" w:hAnsi="Arial Regular" w:cs="Arial Regular"/>
        </w:rPr>
      </w:pPr>
    </w:p>
    <w:p w:rsidR="0021476B" w:rsidRDefault="0021476B" w:rsidP="0021476B">
      <w:pPr>
        <w:spacing w:before="120" w:after="0" w:line="360" w:lineRule="auto"/>
        <w:rPr>
          <w:rFonts w:ascii="Arial Regular" w:hAnsi="Arial Regular" w:cs="Arial Regular"/>
        </w:rPr>
      </w:pPr>
    </w:p>
    <w:p w:rsidR="0021476B" w:rsidRDefault="0021476B" w:rsidP="0021476B">
      <w:pPr>
        <w:spacing w:before="120" w:after="0" w:line="360" w:lineRule="auto"/>
        <w:rPr>
          <w:rFonts w:ascii="Arial Regular" w:hAnsi="Arial Regular" w:cs="Arial Regular"/>
        </w:rPr>
      </w:pPr>
    </w:p>
    <w:p w:rsidR="0021476B" w:rsidRDefault="0021476B" w:rsidP="0021476B">
      <w:pPr>
        <w:spacing w:before="120" w:after="0" w:line="360" w:lineRule="auto"/>
        <w:rPr>
          <w:rFonts w:ascii="Arial Regular" w:hAnsi="Arial Regular" w:cs="Arial Regular"/>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À ce jour et tant que la filière intégrée (EAF-DRI) reposera sur le gaz naturel</w:t>
      </w:r>
      <w:r w:rsidR="003900E6">
        <w:rPr>
          <w:rFonts w:ascii="Times New Roman" w:hAnsi="Times New Roman" w:cs="Times New Roman"/>
          <w:sz w:val="22"/>
          <w:szCs w:val="22"/>
        </w:rPr>
        <w:t>,</w:t>
      </w:r>
      <w:r w:rsidRPr="00E42142">
        <w:rPr>
          <w:rFonts w:ascii="Times New Roman" w:hAnsi="Times New Roman" w:cs="Times New Roman"/>
          <w:sz w:val="22"/>
          <w:szCs w:val="22"/>
        </w:rPr>
        <w:t xml:space="preserve"> et non</w:t>
      </w:r>
      <w:r w:rsidR="003900E6">
        <w:rPr>
          <w:rFonts w:ascii="Times New Roman" w:hAnsi="Times New Roman" w:cs="Times New Roman"/>
          <w:sz w:val="22"/>
          <w:szCs w:val="22"/>
        </w:rPr>
        <w:t xml:space="preserve"> sur l’hydrogène, seul</w:t>
      </w:r>
      <w:r w:rsidRPr="00E42142">
        <w:rPr>
          <w:rFonts w:ascii="Times New Roman" w:hAnsi="Times New Roman" w:cs="Times New Roman"/>
          <w:sz w:val="22"/>
          <w:szCs w:val="22"/>
        </w:rPr>
        <w:t xml:space="preserve"> le recyclage permet une décarbonation en profondeur de la sidérurgie. Elle ne permet cependant pas de produire l’acier nouveau nécessaire, puisqu’</w:t>
      </w:r>
      <w:r w:rsidRPr="00E42142">
        <w:rPr>
          <w:rFonts w:ascii="Times New Roman" w:hAnsi="Times New Roman" w:cs="Times New Roman"/>
          <w:color w:val="0070C0"/>
          <w:sz w:val="22"/>
          <w:szCs w:val="22"/>
        </w:rPr>
        <w:t>une hausse de 35 % de la demande mondiale d’acier est anticipée par le groupe ArcelorMittal lui-même</w:t>
      </w:r>
      <w:r w:rsidRPr="00E42142">
        <w:rPr>
          <w:rFonts w:ascii="Times New Roman" w:hAnsi="Times New Roman" w:cs="Times New Roman"/>
          <w:sz w:val="22"/>
          <w:szCs w:val="22"/>
        </w:rPr>
        <w:t>. La filière EAF-DRI utilisant le gaz naturel rend toutefois possible une conversion à l’hydrogène relativement peu coûteuse à terme.</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Les annonces actuelles d’ArcelorMittal et ses projets repoussés apparaissent alors très insuffisants. ArcelorMittal prévoyait la construction de deux fours électriques à Dunkerque, avec une unité de DRI et d’un seul four électrique à Fos-sur-Mer. On passerait donc d’une capacité de production de 15 millions de tonnes</w:t>
      </w:r>
      <w:r w:rsidR="00EB7CAF">
        <w:rPr>
          <w:rFonts w:ascii="Times New Roman" w:hAnsi="Times New Roman" w:cs="Times New Roman"/>
          <w:sz w:val="22"/>
          <w:szCs w:val="22"/>
        </w:rPr>
        <w:t>,</w:t>
      </w:r>
      <w:r w:rsidRPr="00E42142">
        <w:rPr>
          <w:rFonts w:ascii="Times New Roman" w:hAnsi="Times New Roman" w:cs="Times New Roman"/>
          <w:sz w:val="22"/>
          <w:szCs w:val="22"/>
        </w:rPr>
        <w:t xml:space="preserve"> qui répond à la demande française anticipée</w:t>
      </w:r>
      <w:r w:rsidR="00EB7CAF">
        <w:rPr>
          <w:rFonts w:ascii="Times New Roman" w:hAnsi="Times New Roman" w:cs="Times New Roman"/>
          <w:sz w:val="22"/>
          <w:szCs w:val="22"/>
        </w:rPr>
        <w:t>,</w:t>
      </w:r>
      <w:r w:rsidRPr="00E42142">
        <w:rPr>
          <w:rFonts w:ascii="Times New Roman" w:hAnsi="Times New Roman" w:cs="Times New Roman"/>
          <w:sz w:val="22"/>
          <w:szCs w:val="22"/>
        </w:rPr>
        <w:t xml:space="preserve"> à une capacité de production de 6,5 millions de tonnes.</w:t>
      </w:r>
    </w:p>
    <w:p w:rsidR="00AF4E89" w:rsidRDefault="003900E6" w:rsidP="00E42142">
      <w:pPr>
        <w:spacing w:before="120" w:after="0" w:line="360" w:lineRule="auto"/>
        <w:rPr>
          <w:rFonts w:ascii="Times New Roman" w:hAnsi="Times New Roman" w:cs="Times New Roman"/>
          <w:sz w:val="22"/>
          <w:szCs w:val="22"/>
        </w:rPr>
      </w:pPr>
      <w:r>
        <w:rPr>
          <w:rFonts w:ascii="Times New Roman" w:hAnsi="Times New Roman" w:cs="Times New Roman"/>
          <w:sz w:val="22"/>
          <w:szCs w:val="22"/>
        </w:rPr>
        <w:t>Pis</w:t>
      </w:r>
      <w:r w:rsidR="00415463" w:rsidRPr="00E42142">
        <w:rPr>
          <w:rFonts w:ascii="Times New Roman" w:hAnsi="Times New Roman" w:cs="Times New Roman"/>
          <w:sz w:val="22"/>
          <w:szCs w:val="22"/>
        </w:rPr>
        <w:t>, on passerait d’une capacité de production d’acier neuf de 15</w:t>
      </w:r>
      <w:r w:rsidR="006133F9">
        <w:rPr>
          <w:rFonts w:ascii="Times New Roman" w:hAnsi="Times New Roman" w:cs="Times New Roman"/>
          <w:sz w:val="22"/>
          <w:szCs w:val="22"/>
        </w:rPr>
        <w:t> </w:t>
      </w:r>
      <w:r w:rsidR="006133F9" w:rsidRPr="00E42142">
        <w:rPr>
          <w:rFonts w:ascii="Times New Roman" w:hAnsi="Times New Roman" w:cs="Times New Roman"/>
          <w:sz w:val="22"/>
          <w:szCs w:val="22"/>
        </w:rPr>
        <w:t>millions de tonnes</w:t>
      </w:r>
      <w:r w:rsidR="00415463" w:rsidRPr="00E42142">
        <w:rPr>
          <w:rFonts w:ascii="Times New Roman" w:hAnsi="Times New Roman" w:cs="Times New Roman"/>
          <w:sz w:val="22"/>
          <w:szCs w:val="22"/>
        </w:rPr>
        <w:t xml:space="preserve"> à 2 </w:t>
      </w:r>
      <w:r w:rsidR="006133F9">
        <w:rPr>
          <w:rFonts w:ascii="Times New Roman" w:hAnsi="Times New Roman" w:cs="Times New Roman"/>
          <w:sz w:val="22"/>
          <w:szCs w:val="22"/>
        </w:rPr>
        <w:t>millions</w:t>
      </w:r>
      <w:r w:rsidR="00415463" w:rsidRPr="00E42142">
        <w:rPr>
          <w:rFonts w:ascii="Times New Roman" w:hAnsi="Times New Roman" w:cs="Times New Roman"/>
          <w:sz w:val="22"/>
          <w:szCs w:val="22"/>
        </w:rPr>
        <w:t xml:space="preserve">, le reste provenant du recyclage de la ferraille. S’il faut évidemment développer cette voie, </w:t>
      </w:r>
      <w:r w:rsidR="00C763BA">
        <w:rPr>
          <w:rFonts w:ascii="Times New Roman" w:hAnsi="Times New Roman" w:cs="Times New Roman"/>
          <w:sz w:val="22"/>
          <w:szCs w:val="22"/>
        </w:rPr>
        <w:t>il ne</w:t>
      </w:r>
      <w:r w:rsidR="00386C11">
        <w:rPr>
          <w:rFonts w:ascii="Times New Roman" w:hAnsi="Times New Roman" w:cs="Times New Roman"/>
          <w:sz w:val="22"/>
          <w:szCs w:val="22"/>
        </w:rPr>
        <w:t xml:space="preserve"> faut pas négliger le fait qu’</w:t>
      </w:r>
      <w:r w:rsidR="00415463" w:rsidRPr="00E42142">
        <w:rPr>
          <w:rFonts w:ascii="Times New Roman" w:hAnsi="Times New Roman" w:cs="Times New Roman"/>
          <w:sz w:val="22"/>
          <w:szCs w:val="22"/>
        </w:rPr>
        <w:t>elle est très dépendante des capacités d’approvisionnement</w:t>
      </w:r>
      <w:r w:rsidR="00386C11">
        <w:rPr>
          <w:rFonts w:ascii="Times New Roman" w:hAnsi="Times New Roman" w:cs="Times New Roman"/>
          <w:sz w:val="22"/>
          <w:szCs w:val="22"/>
        </w:rPr>
        <w:t>,</w:t>
      </w:r>
      <w:r w:rsidR="00415463" w:rsidRPr="00E42142">
        <w:rPr>
          <w:rFonts w:ascii="Times New Roman" w:hAnsi="Times New Roman" w:cs="Times New Roman"/>
          <w:sz w:val="22"/>
          <w:szCs w:val="22"/>
        </w:rPr>
        <w:t xml:space="preserve"> qui ne suffira pas selon tous les experts, d’autant qu’ArcelorMittal n’est pas le seul groupe à investir dans des fours électriques. Ne pas prévoir d’unité de DRI à Fos-sur-Mer fait courir le risque que le four électrique ne puisse pas tourner ou doive importer du minerai de fer réduit.</w:t>
      </w:r>
    </w:p>
    <w:p w:rsidR="003900E6" w:rsidRPr="00E42142" w:rsidRDefault="003900E6" w:rsidP="00E42142">
      <w:pPr>
        <w:spacing w:before="120" w:after="0" w:line="360" w:lineRule="auto"/>
        <w:rPr>
          <w:rFonts w:ascii="Times New Roman" w:hAnsi="Times New Roman" w:cs="Times New Roman"/>
          <w:sz w:val="22"/>
          <w:szCs w:val="22"/>
        </w:rPr>
      </w:pPr>
    </w:p>
    <w:p w:rsidR="00AF4E89" w:rsidRPr="00E42142" w:rsidRDefault="00386C11" w:rsidP="00E42142">
      <w:pPr>
        <w:pStyle w:val="Titre1"/>
        <w:numPr>
          <w:ilvl w:val="0"/>
          <w:numId w:val="0"/>
        </w:numPr>
        <w:spacing w:before="120" w:after="0" w:line="360" w:lineRule="auto"/>
        <w:rPr>
          <w:rFonts w:ascii="Times New Roman" w:hAnsi="Times New Roman" w:cs="Times New Roman"/>
          <w:sz w:val="22"/>
          <w:szCs w:val="22"/>
          <w:u w:val="none"/>
        </w:rPr>
      </w:pPr>
      <w:r w:rsidRPr="00E42142">
        <w:rPr>
          <w:rFonts w:ascii="Times New Roman" w:hAnsi="Times New Roman" w:cs="Times New Roman"/>
          <w:sz w:val="22"/>
          <w:szCs w:val="22"/>
          <w:u w:val="none"/>
        </w:rPr>
        <w:lastRenderedPageBreak/>
        <w:t>TROP CHER OU PAS ASSEZ RENTABLE POUR LES ACTIONNAIRES ?</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Les différentes voies technologiques présentent un coût important. Les projets initiaux d’ArcelorMittal (1</w:t>
      </w:r>
      <w:r w:rsidR="00386C11">
        <w:rPr>
          <w:rFonts w:ascii="Times New Roman" w:hAnsi="Times New Roman" w:cs="Times New Roman"/>
          <w:sz w:val="22"/>
          <w:szCs w:val="22"/>
        </w:rPr>
        <w:t> </w:t>
      </w:r>
      <w:r w:rsidRPr="00E42142">
        <w:rPr>
          <w:rFonts w:ascii="Times New Roman" w:hAnsi="Times New Roman" w:cs="Times New Roman"/>
          <w:sz w:val="22"/>
          <w:szCs w:val="22"/>
        </w:rPr>
        <w:t>four électrique à Fos-sur-Mer et 2 fours électriques avec une unité de DRI à Dunkerque) dépassaient les 2,3 milliards d’euros pour une capacité de production de 6,5 millions de tonnes. Ajouter un DRI à Fos-sur-Mer ajouterait encore 400 millions.</w:t>
      </w:r>
    </w:p>
    <w:p w:rsidR="00AF4E89" w:rsidRPr="00E42142" w:rsidRDefault="00AF4E89" w:rsidP="00E42142">
      <w:pPr>
        <w:spacing w:before="120" w:after="0" w:line="360" w:lineRule="auto"/>
        <w:rPr>
          <w:rFonts w:ascii="Times New Roman" w:hAnsi="Times New Roman" w:cs="Times New Roman"/>
          <w:sz w:val="22"/>
          <w:szCs w:val="22"/>
        </w:rPr>
      </w:pPr>
    </w:p>
    <w:p w:rsidR="00362B01" w:rsidRDefault="0021476B" w:rsidP="0021476B">
      <w:pPr>
        <w:spacing w:before="120" w:after="0" w:line="360" w:lineRule="auto"/>
        <w:jc w:val="center"/>
        <w:rPr>
          <w:rFonts w:ascii="Arial Regular" w:hAnsi="Arial Regular" w:cs="Arial Regular"/>
          <w:b/>
          <w:color w:val="FF0000"/>
        </w:rPr>
      </w:pPr>
      <w:r>
        <w:rPr>
          <w:rFonts w:ascii="Times New Roman" w:hAnsi="Times New Roman" w:cs="Times New Roman"/>
          <w:b/>
          <w:color w:val="FF0000"/>
          <w:sz w:val="22"/>
          <w:szCs w:val="22"/>
        </w:rPr>
        <w:t>(</w:t>
      </w:r>
      <w:r w:rsidR="00415463" w:rsidRPr="00386C11">
        <w:rPr>
          <w:rFonts w:ascii="Times New Roman" w:hAnsi="Times New Roman" w:cs="Times New Roman"/>
          <w:b/>
          <w:color w:val="FF0000"/>
          <w:sz w:val="22"/>
          <w:szCs w:val="22"/>
        </w:rPr>
        <w:t>((Figure :</w:t>
      </w:r>
      <w:r w:rsidR="00415463" w:rsidRPr="00386C11">
        <w:rPr>
          <w:rFonts w:ascii="Times New Roman" w:hAnsi="Times New Roman" w:cs="Times New Roman"/>
          <w:color w:val="FF0000"/>
          <w:sz w:val="22"/>
          <w:szCs w:val="22"/>
        </w:rPr>
        <w:t xml:space="preserve"> </w:t>
      </w:r>
      <w:r w:rsidR="006133F9" w:rsidRPr="0021476B">
        <w:rPr>
          <w:rFonts w:ascii="Calibri" w:hAnsi="Calibri" w:cs="Calibri"/>
          <w:b/>
          <w:sz w:val="22"/>
          <w:szCs w:val="22"/>
        </w:rPr>
        <w:t>INVESTISSEMENTS N</w:t>
      </w:r>
      <w:r w:rsidR="006133F9">
        <w:rPr>
          <w:rFonts w:ascii="Calibri" w:hAnsi="Calibri" w:cs="Calibri"/>
          <w:b/>
          <w:sz w:val="22"/>
          <w:szCs w:val="22"/>
        </w:rPr>
        <w:t>É</w:t>
      </w:r>
      <w:r w:rsidR="006133F9" w:rsidRPr="0021476B">
        <w:rPr>
          <w:rFonts w:ascii="Calibri" w:hAnsi="Calibri" w:cs="Calibri"/>
          <w:b/>
          <w:sz w:val="22"/>
          <w:szCs w:val="22"/>
        </w:rPr>
        <w:t>CESSAIRES SELON LES TECHNOLOGIES CONSIDER</w:t>
      </w:r>
      <w:r w:rsidR="006133F9">
        <w:rPr>
          <w:rFonts w:ascii="Calibri" w:hAnsi="Calibri" w:cs="Calibri"/>
          <w:b/>
          <w:sz w:val="22"/>
          <w:szCs w:val="22"/>
        </w:rPr>
        <w:t>É</w:t>
      </w:r>
      <w:r w:rsidR="006133F9" w:rsidRPr="0021476B">
        <w:rPr>
          <w:rFonts w:ascii="Calibri" w:hAnsi="Calibri" w:cs="Calibri"/>
          <w:b/>
          <w:sz w:val="22"/>
          <w:szCs w:val="22"/>
        </w:rPr>
        <w:t>ES</w:t>
      </w:r>
      <w:r w:rsidR="00362B01">
        <w:rPr>
          <w:rFonts w:ascii="Calibri" w:hAnsi="Calibri" w:cs="Calibri"/>
          <w:b/>
          <w:sz w:val="22"/>
          <w:szCs w:val="22"/>
        </w:rPr>
        <w:br/>
        <w:t xml:space="preserve">(Première approximation) </w:t>
      </w:r>
      <w:r w:rsidR="00415463" w:rsidRPr="0021476B">
        <w:rPr>
          <w:rFonts w:ascii="Times New Roman" w:hAnsi="Times New Roman" w:cs="Times New Roman"/>
          <w:b/>
          <w:color w:val="FF0000"/>
          <w:sz w:val="22"/>
          <w:szCs w:val="22"/>
        </w:rPr>
        <w:t>))</w:t>
      </w:r>
      <w:r w:rsidRPr="0021476B">
        <w:rPr>
          <w:rFonts w:ascii="Times New Roman" w:hAnsi="Times New Roman" w:cs="Times New Roman"/>
          <w:b/>
          <w:color w:val="FF0000"/>
          <w:sz w:val="22"/>
          <w:szCs w:val="22"/>
        </w:rPr>
        <w:t>)</w:t>
      </w:r>
    </w:p>
    <w:p w:rsidR="00362B01" w:rsidRPr="00C763BA" w:rsidRDefault="00362B01" w:rsidP="00C763BA">
      <w:pPr>
        <w:spacing w:before="120" w:after="0" w:line="360" w:lineRule="auto"/>
        <w:ind w:left="1416" w:firstLine="708"/>
        <w:jc w:val="left"/>
        <w:rPr>
          <w:rFonts w:ascii="Calibri" w:hAnsi="Calibri" w:cs="Calibri"/>
          <w:sz w:val="18"/>
          <w:szCs w:val="18"/>
        </w:rPr>
      </w:pPr>
      <w:r w:rsidRPr="00C763BA">
        <w:rPr>
          <w:rFonts w:ascii="Calibri" w:hAnsi="Calibri" w:cs="Calibri"/>
          <w:sz w:val="18"/>
          <w:szCs w:val="18"/>
        </w:rPr>
        <w:t>(M€)</w:t>
      </w:r>
    </w:p>
    <w:p w:rsidR="0021476B" w:rsidRDefault="0021476B" w:rsidP="0021476B">
      <w:pPr>
        <w:spacing w:before="120" w:after="0" w:line="360" w:lineRule="auto"/>
        <w:jc w:val="center"/>
        <w:rPr>
          <w:rFonts w:ascii="Arial Bold" w:hAnsi="Arial Bold" w:cs="Arial Bold"/>
          <w:b/>
        </w:rPr>
      </w:pPr>
      <w:r>
        <w:rPr>
          <w:rFonts w:ascii="Arial Bold" w:hAnsi="Arial Bold" w:cs="Arial Bold"/>
          <w:b/>
          <w:noProof/>
          <w:lang w:eastAsia="fr-FR"/>
        </w:rPr>
        <w:drawing>
          <wp:inline distT="0" distB="0" distL="114300" distR="114300" wp14:anchorId="27F2C6DC" wp14:editId="27C3A131">
            <wp:extent cx="3486150" cy="1809750"/>
            <wp:effectExtent l="0" t="0" r="19050" b="19050"/>
            <wp:docPr id="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26682" name="Image 1" descr="Une image contenant texte, capture d’écran, Police, nombre&#10;&#10;Le contenu généré par l’IA peut êtr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486150" cy="1809750"/>
                    </a:xfrm>
                    <a:prstGeom prst="rect">
                      <a:avLst/>
                    </a:prstGeom>
                  </pic:spPr>
                </pic:pic>
              </a:graphicData>
            </a:graphic>
          </wp:inline>
        </w:drawing>
      </w:r>
    </w:p>
    <w:p w:rsidR="0021476B" w:rsidRDefault="0021476B" w:rsidP="0021476B">
      <w:pPr>
        <w:spacing w:before="120" w:after="0" w:line="360" w:lineRule="auto"/>
        <w:rPr>
          <w:rFonts w:ascii="Arial Bold" w:hAnsi="Arial Bold" w:cs="Arial Bold"/>
          <w:b/>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 xml:space="preserve">Pour maintenir </w:t>
      </w:r>
      <w:r w:rsidR="00386C11" w:rsidRPr="00E42142">
        <w:rPr>
          <w:rFonts w:ascii="Times New Roman" w:hAnsi="Times New Roman" w:cs="Times New Roman"/>
          <w:sz w:val="22"/>
          <w:szCs w:val="22"/>
        </w:rPr>
        <w:t xml:space="preserve">en France </w:t>
      </w:r>
      <w:r w:rsidRPr="00E42142">
        <w:rPr>
          <w:rFonts w:ascii="Times New Roman" w:hAnsi="Times New Roman" w:cs="Times New Roman"/>
          <w:sz w:val="22"/>
          <w:szCs w:val="22"/>
        </w:rPr>
        <w:t xml:space="preserve">une capacité </w:t>
      </w:r>
      <w:r w:rsidR="006133F9">
        <w:rPr>
          <w:rFonts w:ascii="Times New Roman" w:hAnsi="Times New Roman" w:cs="Times New Roman"/>
          <w:sz w:val="22"/>
          <w:szCs w:val="22"/>
        </w:rPr>
        <w:t>de production similaire à celle</w:t>
      </w:r>
      <w:r w:rsidRPr="00E42142">
        <w:rPr>
          <w:rFonts w:ascii="Times New Roman" w:hAnsi="Times New Roman" w:cs="Times New Roman"/>
          <w:sz w:val="22"/>
          <w:szCs w:val="22"/>
        </w:rPr>
        <w:t xml:space="preserve"> des hauts-fourneaux, le coût varierait donc entre 5 et 6,5 milliards. La somme peut sembler énorme, mais souvenons-nous que, lors de la crise de la sidérurgie des années 1980, l’État avait injecté 17,5 milliards de francs, soit 2,7 milliards d’euros ou, si on prend en compte l’inflation, l’équivalent de 6,9 milliards d’euros. Jusqu’</w:t>
      </w:r>
      <w:r w:rsidR="006133F9">
        <w:rPr>
          <w:rFonts w:ascii="Times New Roman" w:hAnsi="Times New Roman" w:cs="Times New Roman"/>
          <w:sz w:val="22"/>
          <w:szCs w:val="22"/>
        </w:rPr>
        <w:t xml:space="preserve">à </w:t>
      </w:r>
      <w:r w:rsidRPr="00E42142">
        <w:rPr>
          <w:rFonts w:ascii="Times New Roman" w:hAnsi="Times New Roman" w:cs="Times New Roman"/>
          <w:sz w:val="22"/>
          <w:szCs w:val="22"/>
        </w:rPr>
        <w:t>aujourd’hui, ArcelorMittal a vécu sur ces investissements réalisés à l’époque de la nationalisation d’Usinor et de Sacilor. Pour maintenir les mêmes niveaux de production de manière décarbonée, la somme est finalement assez modérée.</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 xml:space="preserve">Alors pourquoi ArcelorMittal ne le fait-il pas ? L’actuel responsable de la décarbonation du groupe ArcelorMittal l’a expliqué lors d’une conférence organisée par la </w:t>
      </w:r>
      <w:r w:rsidR="00386C11">
        <w:rPr>
          <w:rFonts w:ascii="Times New Roman" w:hAnsi="Times New Roman" w:cs="Times New Roman"/>
          <w:sz w:val="22"/>
          <w:szCs w:val="22"/>
        </w:rPr>
        <w:t>Commission européenne en 2021 « </w:t>
      </w:r>
      <w:r w:rsidRPr="00386C11">
        <w:rPr>
          <w:rFonts w:ascii="Times New Roman" w:hAnsi="Times New Roman" w:cs="Times New Roman"/>
          <w:i/>
          <w:sz w:val="22"/>
          <w:szCs w:val="22"/>
        </w:rPr>
        <w:t>aucun projet de remplacement autofinancé des actifs existants n’a de sens économiquement</w:t>
      </w:r>
      <w:r w:rsidR="00386C11">
        <w:rPr>
          <w:rFonts w:ascii="Times New Roman" w:hAnsi="Times New Roman" w:cs="Times New Roman"/>
          <w:sz w:val="22"/>
          <w:szCs w:val="22"/>
        </w:rPr>
        <w:t> »</w:t>
      </w:r>
      <w:r w:rsidR="00386C11" w:rsidRPr="00C763BA">
        <w:rPr>
          <w:rFonts w:ascii="Times New Roman" w:hAnsi="Times New Roman" w:cs="Times New Roman"/>
          <w:sz w:val="22"/>
          <w:szCs w:val="22"/>
          <w:highlight w:val="green"/>
          <w:vertAlign w:val="superscript"/>
        </w:rPr>
        <w:t>1</w:t>
      </w:r>
      <w:r w:rsidR="00386C11" w:rsidRPr="00C763BA">
        <w:rPr>
          <w:rFonts w:ascii="Times New Roman" w:hAnsi="Times New Roman" w:cs="Times New Roman"/>
          <w:sz w:val="22"/>
          <w:szCs w:val="22"/>
          <w:highlight w:val="green"/>
        </w:rPr>
        <w:t>.</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Pourtant, la durée de vie d’une installation sidérurgique étant de 40 ans, cela représente un coût annuel allant de 57 millions d’euros (les projets initiaux d’ArcelorMittal) à 162 millions pour maintenir le</w:t>
      </w:r>
      <w:r w:rsidR="00386C11">
        <w:rPr>
          <w:rFonts w:ascii="Times New Roman" w:hAnsi="Times New Roman" w:cs="Times New Roman"/>
          <w:sz w:val="22"/>
          <w:szCs w:val="22"/>
        </w:rPr>
        <w:t>s niveaux de production actuels</w:t>
      </w:r>
      <w:r w:rsidRPr="00E42142">
        <w:rPr>
          <w:rFonts w:ascii="Times New Roman" w:hAnsi="Times New Roman" w:cs="Times New Roman"/>
          <w:sz w:val="22"/>
          <w:szCs w:val="22"/>
        </w:rPr>
        <w:t xml:space="preserve"> de la manière la plus décarbonée possible (fours électriques avec DRI), soit </w:t>
      </w:r>
      <w:r w:rsidRPr="00E42142">
        <w:rPr>
          <w:rFonts w:ascii="Times New Roman" w:hAnsi="Times New Roman" w:cs="Times New Roman"/>
          <w:sz w:val="22"/>
          <w:szCs w:val="22"/>
        </w:rPr>
        <w:lastRenderedPageBreak/>
        <w:t xml:space="preserve">entre 8,8 € et 11 € rapportés à la tonne d’acier produite, un coût largement compensé par le prix des quotas carbone économisés. </w:t>
      </w:r>
    </w:p>
    <w:p w:rsidR="00AF4E89"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La r</w:t>
      </w:r>
      <w:r w:rsidR="006133F9">
        <w:rPr>
          <w:rFonts w:ascii="Times New Roman" w:hAnsi="Times New Roman" w:cs="Times New Roman"/>
          <w:sz w:val="22"/>
          <w:szCs w:val="22"/>
        </w:rPr>
        <w:t>aison n’est donc pas économique</w:t>
      </w:r>
      <w:r w:rsidRPr="00E42142">
        <w:rPr>
          <w:rFonts w:ascii="Times New Roman" w:hAnsi="Times New Roman" w:cs="Times New Roman"/>
          <w:sz w:val="22"/>
          <w:szCs w:val="22"/>
        </w:rPr>
        <w:t xml:space="preserve"> mais bassement financière. </w:t>
      </w:r>
      <w:r w:rsidRPr="00E42142">
        <w:rPr>
          <w:rFonts w:ascii="Times New Roman" w:hAnsi="Times New Roman" w:cs="Times New Roman"/>
          <w:color w:val="0070C0"/>
          <w:sz w:val="22"/>
          <w:szCs w:val="22"/>
        </w:rPr>
        <w:t>Le groupe ArcelorMittal s’est engagé à remonter aux actionnaires</w:t>
      </w:r>
      <w:r w:rsidR="005A6E1A">
        <w:rPr>
          <w:rFonts w:ascii="Times New Roman" w:hAnsi="Times New Roman" w:cs="Times New Roman"/>
          <w:color w:val="0070C0"/>
          <w:sz w:val="22"/>
          <w:szCs w:val="22"/>
        </w:rPr>
        <w:t xml:space="preserve"> </w:t>
      </w:r>
      <w:r w:rsidR="005A6E1A" w:rsidRPr="005A6E1A">
        <w:rPr>
          <w:rFonts w:ascii="Times New Roman" w:hAnsi="Times New Roman" w:cs="Times New Roman"/>
          <w:i/>
          <w:color w:val="0070C0"/>
          <w:sz w:val="22"/>
          <w:szCs w:val="22"/>
        </w:rPr>
        <w:t>a minima</w:t>
      </w:r>
      <w:r w:rsidRPr="00E42142">
        <w:rPr>
          <w:rFonts w:ascii="Times New Roman" w:hAnsi="Times New Roman" w:cs="Times New Roman"/>
          <w:color w:val="0070C0"/>
          <w:sz w:val="22"/>
          <w:szCs w:val="22"/>
        </w:rPr>
        <w:t xml:space="preserve"> 50 % du </w:t>
      </w:r>
      <w:r w:rsidRPr="00E42142">
        <w:rPr>
          <w:rFonts w:ascii="Times New Roman" w:hAnsi="Times New Roman" w:cs="Times New Roman"/>
          <w:i/>
          <w:iCs/>
          <w:color w:val="0070C0"/>
          <w:sz w:val="22"/>
          <w:szCs w:val="22"/>
        </w:rPr>
        <w:t>free cash flow</w:t>
      </w:r>
      <w:r w:rsidRPr="00E42142">
        <w:rPr>
          <w:rFonts w:ascii="Times New Roman" w:hAnsi="Times New Roman" w:cs="Times New Roman"/>
          <w:color w:val="0070C0"/>
          <w:sz w:val="22"/>
          <w:szCs w:val="22"/>
        </w:rPr>
        <w:t xml:space="preserve"> (le </w:t>
      </w:r>
      <w:r w:rsidRPr="005A6E1A">
        <w:rPr>
          <w:rFonts w:ascii="Times New Roman" w:hAnsi="Times New Roman" w:cs="Times New Roman"/>
          <w:i/>
          <w:color w:val="0070C0"/>
          <w:sz w:val="22"/>
          <w:szCs w:val="22"/>
        </w:rPr>
        <w:t>cash</w:t>
      </w:r>
      <w:r w:rsidRPr="00E42142">
        <w:rPr>
          <w:rFonts w:ascii="Times New Roman" w:hAnsi="Times New Roman" w:cs="Times New Roman"/>
          <w:color w:val="0070C0"/>
          <w:sz w:val="22"/>
          <w:szCs w:val="22"/>
        </w:rPr>
        <w:t xml:space="preserve"> disponible après f</w:t>
      </w:r>
      <w:r w:rsidR="006133F9">
        <w:rPr>
          <w:rFonts w:ascii="Times New Roman" w:hAnsi="Times New Roman" w:cs="Times New Roman"/>
          <w:color w:val="0070C0"/>
          <w:sz w:val="22"/>
          <w:szCs w:val="22"/>
        </w:rPr>
        <w:t xml:space="preserve">inancement des investissements) ; </w:t>
      </w:r>
      <w:r w:rsidRPr="006133F9">
        <w:rPr>
          <w:rFonts w:ascii="Times New Roman" w:hAnsi="Times New Roman" w:cs="Times New Roman"/>
          <w:color w:val="0070C0"/>
          <w:sz w:val="22"/>
          <w:szCs w:val="22"/>
        </w:rPr>
        <w:t>en réalité,</w:t>
      </w:r>
      <w:r w:rsidRPr="00E42142">
        <w:rPr>
          <w:rFonts w:ascii="Times New Roman" w:hAnsi="Times New Roman" w:cs="Times New Roman"/>
          <w:color w:val="0070C0"/>
          <w:sz w:val="22"/>
          <w:szCs w:val="22"/>
        </w:rPr>
        <w:t xml:space="preserve"> </w:t>
      </w:r>
      <w:r w:rsidR="001634B3">
        <w:rPr>
          <w:rFonts w:ascii="Times New Roman" w:hAnsi="Times New Roman" w:cs="Times New Roman"/>
          <w:color w:val="0070C0"/>
          <w:sz w:val="22"/>
          <w:szCs w:val="22"/>
        </w:rPr>
        <w:t>l</w:t>
      </w:r>
      <w:r w:rsidR="006133F9">
        <w:rPr>
          <w:rFonts w:ascii="Times New Roman" w:hAnsi="Times New Roman" w:cs="Times New Roman"/>
          <w:color w:val="0070C0"/>
          <w:sz w:val="22"/>
          <w:szCs w:val="22"/>
        </w:rPr>
        <w:t xml:space="preserve">e groupe en fait </w:t>
      </w:r>
      <w:r w:rsidRPr="00E42142">
        <w:rPr>
          <w:rFonts w:ascii="Times New Roman" w:hAnsi="Times New Roman" w:cs="Times New Roman"/>
          <w:color w:val="0070C0"/>
          <w:sz w:val="22"/>
          <w:szCs w:val="22"/>
        </w:rPr>
        <w:t>remonter bien plus, pratiquement 100 % en 2023</w:t>
      </w:r>
      <w:r w:rsidRPr="00E42142">
        <w:rPr>
          <w:rFonts w:ascii="Times New Roman" w:hAnsi="Times New Roman" w:cs="Times New Roman"/>
          <w:sz w:val="22"/>
          <w:szCs w:val="22"/>
        </w:rPr>
        <w:t xml:space="preserve">. </w:t>
      </w:r>
      <w:r w:rsidR="006133F9">
        <w:rPr>
          <w:rFonts w:ascii="Times New Roman" w:hAnsi="Times New Roman" w:cs="Times New Roman"/>
          <w:sz w:val="22"/>
          <w:szCs w:val="22"/>
        </w:rPr>
        <w:t xml:space="preserve">À lui seul, </w:t>
      </w:r>
      <w:r w:rsidRPr="00E42142">
        <w:rPr>
          <w:rFonts w:ascii="Times New Roman" w:hAnsi="Times New Roman" w:cs="Times New Roman"/>
          <w:sz w:val="22"/>
          <w:szCs w:val="22"/>
        </w:rPr>
        <w:t>ArcelorMittal a fait remonter 732 millions de dividendes sur les deux dernières années. Autrement dit, même en autofinançant l’intégralité des investissements, cela représenterait pour ArcelorMittal France entre 6 ans et 18 ans de dividendes. Il resterait encore entre 22</w:t>
      </w:r>
      <w:r w:rsidR="005A6E1A">
        <w:rPr>
          <w:rFonts w:ascii="Times New Roman" w:hAnsi="Times New Roman" w:cs="Times New Roman"/>
          <w:sz w:val="22"/>
          <w:szCs w:val="22"/>
        </w:rPr>
        <w:t> </w:t>
      </w:r>
      <w:r w:rsidRPr="00E42142">
        <w:rPr>
          <w:rFonts w:ascii="Times New Roman" w:hAnsi="Times New Roman" w:cs="Times New Roman"/>
          <w:sz w:val="22"/>
          <w:szCs w:val="22"/>
        </w:rPr>
        <w:t xml:space="preserve">et 34 ans de bénéfices à encaisser, mais cela ne plaît pas aux actionnaires d’ArcelorMittal </w:t>
      </w:r>
      <w:r w:rsidR="00377B09">
        <w:rPr>
          <w:rFonts w:ascii="Times New Roman" w:hAnsi="Times New Roman" w:cs="Times New Roman"/>
          <w:sz w:val="22"/>
          <w:szCs w:val="22"/>
        </w:rPr>
        <w:t>mus par</w:t>
      </w:r>
      <w:r w:rsidRPr="00E42142">
        <w:rPr>
          <w:rFonts w:ascii="Times New Roman" w:hAnsi="Times New Roman" w:cs="Times New Roman"/>
          <w:sz w:val="22"/>
          <w:szCs w:val="22"/>
        </w:rPr>
        <w:t xml:space="preserve"> </w:t>
      </w:r>
      <w:r w:rsidR="00377B09">
        <w:rPr>
          <w:rFonts w:ascii="Times New Roman" w:hAnsi="Times New Roman" w:cs="Times New Roman"/>
          <w:sz w:val="22"/>
          <w:szCs w:val="22"/>
        </w:rPr>
        <w:t>une</w:t>
      </w:r>
      <w:r w:rsidRPr="00E42142">
        <w:rPr>
          <w:rFonts w:ascii="Times New Roman" w:hAnsi="Times New Roman" w:cs="Times New Roman"/>
          <w:sz w:val="22"/>
          <w:szCs w:val="22"/>
        </w:rPr>
        <w:t xml:space="preserve"> logique court-termiste.</w:t>
      </w:r>
    </w:p>
    <w:p w:rsidR="00377B09" w:rsidRPr="00E42142" w:rsidRDefault="00377B09" w:rsidP="00E42142">
      <w:pPr>
        <w:spacing w:before="120" w:after="0" w:line="360" w:lineRule="auto"/>
        <w:rPr>
          <w:rFonts w:ascii="Times New Roman" w:hAnsi="Times New Roman" w:cs="Times New Roman"/>
          <w:sz w:val="22"/>
          <w:szCs w:val="22"/>
        </w:rPr>
      </w:pPr>
    </w:p>
    <w:p w:rsidR="00362B01" w:rsidRDefault="00291684" w:rsidP="00362B01">
      <w:pPr>
        <w:spacing w:before="120" w:after="0" w:line="360" w:lineRule="auto"/>
        <w:jc w:val="center"/>
        <w:rPr>
          <w:rFonts w:ascii="Times New Roman" w:hAnsi="Times New Roman" w:cs="Times New Roman"/>
          <w:bCs/>
          <w:color w:val="FF0000"/>
          <w:sz w:val="22"/>
          <w:szCs w:val="22"/>
        </w:rPr>
      </w:pPr>
      <w:r>
        <w:rPr>
          <w:rFonts w:ascii="Times New Roman" w:hAnsi="Times New Roman" w:cs="Times New Roman"/>
          <w:b/>
          <w:bCs/>
          <w:color w:val="FF0000"/>
          <w:sz w:val="22"/>
          <w:szCs w:val="22"/>
        </w:rPr>
        <w:t>(</w:t>
      </w:r>
      <w:r w:rsidR="00415463" w:rsidRPr="005A6E1A">
        <w:rPr>
          <w:rFonts w:ascii="Times New Roman" w:hAnsi="Times New Roman" w:cs="Times New Roman"/>
          <w:b/>
          <w:bCs/>
          <w:color w:val="FF0000"/>
          <w:sz w:val="22"/>
          <w:szCs w:val="22"/>
        </w:rPr>
        <w:t>((Figure :</w:t>
      </w:r>
      <w:r w:rsidR="00415463" w:rsidRPr="005A6E1A">
        <w:rPr>
          <w:rFonts w:ascii="Times New Roman" w:hAnsi="Times New Roman" w:cs="Times New Roman"/>
          <w:bCs/>
          <w:color w:val="FF0000"/>
          <w:sz w:val="22"/>
          <w:szCs w:val="22"/>
        </w:rPr>
        <w:t xml:space="preserve"> </w:t>
      </w:r>
      <w:r w:rsidR="00377B09">
        <w:rPr>
          <w:rFonts w:ascii="Calibri" w:hAnsi="Calibri" w:cs="Calibri"/>
          <w:b/>
          <w:bCs/>
          <w:sz w:val="22"/>
          <w:szCs w:val="22"/>
        </w:rPr>
        <w:t>COÛ</w:t>
      </w:r>
      <w:r w:rsidR="00377B09" w:rsidRPr="00362B01">
        <w:rPr>
          <w:rFonts w:ascii="Calibri" w:hAnsi="Calibri" w:cs="Calibri"/>
          <w:b/>
          <w:bCs/>
          <w:sz w:val="22"/>
          <w:szCs w:val="22"/>
        </w:rPr>
        <w:t>T DES ACTIONNAIRES D’ARCELORMITTAL</w:t>
      </w:r>
      <w:r w:rsidR="00362B01" w:rsidRPr="00362B01">
        <w:rPr>
          <w:rFonts w:ascii="Calibri" w:hAnsi="Calibri" w:cs="Calibri"/>
          <w:b/>
          <w:bCs/>
          <w:sz w:val="22"/>
          <w:szCs w:val="22"/>
        </w:rPr>
        <w:t xml:space="preserve"> </w:t>
      </w:r>
      <w:r w:rsidR="00362B01">
        <w:rPr>
          <w:rFonts w:ascii="Calibri" w:hAnsi="Calibri" w:cs="Calibri"/>
          <w:b/>
          <w:bCs/>
          <w:sz w:val="22"/>
          <w:szCs w:val="22"/>
        </w:rPr>
        <w:t>(</w:t>
      </w:r>
      <w:r w:rsidR="00362B01" w:rsidRPr="00362B01">
        <w:rPr>
          <w:rFonts w:ascii="Calibri" w:hAnsi="Calibri" w:cs="Calibri"/>
          <w:b/>
          <w:bCs/>
          <w:sz w:val="22"/>
          <w:szCs w:val="22"/>
        </w:rPr>
        <w:t>2018 et 2024</w:t>
      </w:r>
      <w:r w:rsidR="00362B01">
        <w:rPr>
          <w:rFonts w:ascii="Calibri" w:hAnsi="Calibri" w:cs="Calibri"/>
          <w:b/>
          <w:bCs/>
          <w:sz w:val="22"/>
          <w:szCs w:val="22"/>
        </w:rPr>
        <w:t>) </w:t>
      </w:r>
      <w:r w:rsidR="00362B01" w:rsidRPr="00291684">
        <w:rPr>
          <w:rFonts w:ascii="Times New Roman" w:hAnsi="Times New Roman" w:cs="Times New Roman"/>
          <w:b/>
          <w:bCs/>
          <w:color w:val="FF0000"/>
          <w:sz w:val="22"/>
          <w:szCs w:val="22"/>
        </w:rPr>
        <w:t>))))</w:t>
      </w:r>
    </w:p>
    <w:p w:rsidR="00362B01" w:rsidRPr="00362B01" w:rsidRDefault="00362B01" w:rsidP="00362B01">
      <w:pPr>
        <w:spacing w:before="120" w:after="0" w:line="360" w:lineRule="auto"/>
        <w:ind w:left="708" w:firstLine="708"/>
        <w:jc w:val="left"/>
        <w:rPr>
          <w:rFonts w:ascii="Calibri" w:hAnsi="Calibri" w:cs="Calibri"/>
          <w:bCs/>
          <w:sz w:val="18"/>
          <w:szCs w:val="18"/>
        </w:rPr>
      </w:pPr>
      <w:r w:rsidRPr="00362B01">
        <w:rPr>
          <w:rFonts w:ascii="Calibri" w:hAnsi="Calibri" w:cs="Calibri"/>
          <w:bCs/>
          <w:sz w:val="18"/>
          <w:szCs w:val="18"/>
        </w:rPr>
        <w:t>(Millions de dollars)</w:t>
      </w:r>
    </w:p>
    <w:p w:rsidR="00377B09" w:rsidRDefault="00362B01" w:rsidP="00362B01">
      <w:pPr>
        <w:spacing w:before="120" w:after="0" w:line="360" w:lineRule="auto"/>
        <w:jc w:val="center"/>
        <w:rPr>
          <w:rFonts w:ascii="Arial" w:hAnsi="Arial" w:cs="Arial"/>
          <w:bCs/>
        </w:rPr>
      </w:pPr>
      <w:r>
        <w:rPr>
          <w:rFonts w:ascii="Arial Regular" w:hAnsi="Arial Regular" w:cs="Arial Regular"/>
          <w:noProof/>
          <w:lang w:eastAsia="fr-FR"/>
        </w:rPr>
        <w:drawing>
          <wp:inline distT="0" distB="0" distL="114300" distR="114300" wp14:anchorId="4C87F92E" wp14:editId="176F3A12">
            <wp:extent cx="3867150" cy="1739900"/>
            <wp:effectExtent l="0" t="0" r="19050" b="12700"/>
            <wp:docPr id="8"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98116" name="Image 1" descr="Une image contenant texte, capture d’écran, nombre, Police&#10;&#10;Le contenu généré par l’IA peut être incorrect."/>
                    <pic:cNvPicPr>
                      <a:picLocks noChangeAspect="1"/>
                    </pic:cNvPicPr>
                  </pic:nvPicPr>
                  <pic:blipFill>
                    <a:blip r:embed="rId16">
                      <a:extLst>
                        <a:ext uri="{28A0092B-C50C-407E-A947-70E740481C1C}">
                          <a14:useLocalDpi xmlns:a14="http://schemas.microsoft.com/office/drawing/2010/main" val="0"/>
                        </a:ext>
                      </a:extLst>
                    </a:blip>
                    <a:srcRect l="3333"/>
                    <a:stretch>
                      <a:fillRect/>
                    </a:stretch>
                  </pic:blipFill>
                  <pic:spPr>
                    <a:xfrm>
                      <a:off x="0" y="0"/>
                      <a:ext cx="3867150" cy="1739900"/>
                    </a:xfrm>
                    <a:prstGeom prst="rect">
                      <a:avLst/>
                    </a:prstGeom>
                    <a:ln>
                      <a:noFill/>
                    </a:ln>
                  </pic:spPr>
                </pic:pic>
              </a:graphicData>
            </a:graphic>
          </wp:inline>
        </w:drawing>
      </w:r>
    </w:p>
    <w:p w:rsidR="00362B01" w:rsidRPr="00377B09" w:rsidRDefault="00377B09" w:rsidP="00362B01">
      <w:pPr>
        <w:spacing w:before="120" w:after="0" w:line="360" w:lineRule="auto"/>
        <w:jc w:val="center"/>
        <w:rPr>
          <w:rFonts w:ascii="Arial" w:hAnsi="Arial" w:cs="Arial"/>
          <w:bCs/>
          <w:sz w:val="20"/>
          <w:szCs w:val="20"/>
        </w:rPr>
      </w:pPr>
      <w:r w:rsidRPr="00377B09">
        <w:rPr>
          <w:rFonts w:ascii="Times New Roman" w:hAnsi="Times New Roman" w:cs="Times New Roman"/>
          <w:bCs/>
          <w:color w:val="FF0000"/>
          <w:sz w:val="20"/>
          <w:szCs w:val="20"/>
        </w:rPr>
        <w:t>(((Frédo :</w:t>
      </w:r>
      <w:r>
        <w:rPr>
          <w:rFonts w:ascii="Times New Roman" w:hAnsi="Times New Roman" w:cs="Times New Roman"/>
          <w:bCs/>
          <w:color w:val="FF0000"/>
          <w:sz w:val="20"/>
          <w:szCs w:val="20"/>
        </w:rPr>
        <w:t xml:space="preserve"> </w:t>
      </w:r>
      <w:r w:rsidRPr="00377B09">
        <w:rPr>
          <w:rFonts w:ascii="Times New Roman" w:hAnsi="Times New Roman" w:cs="Times New Roman"/>
          <w:bCs/>
          <w:color w:val="FF0000"/>
          <w:sz w:val="20"/>
          <w:szCs w:val="20"/>
        </w:rPr>
        <w:t>remplacer</w:t>
      </w:r>
      <w:r w:rsidRPr="00377B09">
        <w:rPr>
          <w:rFonts w:ascii="Arial" w:hAnsi="Arial" w:cs="Arial"/>
          <w:bCs/>
          <w:color w:val="FF0000"/>
          <w:sz w:val="20"/>
          <w:szCs w:val="20"/>
        </w:rPr>
        <w:t xml:space="preserve"> </w:t>
      </w:r>
      <w:r w:rsidRPr="00377B09">
        <w:rPr>
          <w:rFonts w:ascii="Arial" w:hAnsi="Arial" w:cs="Arial"/>
          <w:bCs/>
          <w:color w:val="FF0000"/>
          <w:sz w:val="20"/>
          <w:szCs w:val="20"/>
          <w:highlight w:val="yellow"/>
        </w:rPr>
        <w:t>d’action</w:t>
      </w:r>
      <w:r w:rsidRPr="00377B09">
        <w:rPr>
          <w:rFonts w:ascii="Arial" w:hAnsi="Arial" w:cs="Arial"/>
          <w:bCs/>
          <w:color w:val="FF0000"/>
          <w:sz w:val="20"/>
          <w:szCs w:val="20"/>
        </w:rPr>
        <w:t xml:space="preserve"> </w:t>
      </w:r>
      <w:r w:rsidRPr="00377B09">
        <w:rPr>
          <w:rFonts w:ascii="Times New Roman" w:hAnsi="Times New Roman" w:cs="Times New Roman"/>
          <w:bCs/>
          <w:color w:val="FF0000"/>
          <w:sz w:val="20"/>
          <w:szCs w:val="20"/>
        </w:rPr>
        <w:t xml:space="preserve">par </w:t>
      </w:r>
      <w:r w:rsidRPr="00377B09">
        <w:rPr>
          <w:rFonts w:ascii="Arial" w:hAnsi="Arial" w:cs="Arial"/>
          <w:bCs/>
          <w:sz w:val="20"/>
          <w:szCs w:val="20"/>
        </w:rPr>
        <w:t>d’actions</w:t>
      </w:r>
      <w:r w:rsidRPr="00377B09">
        <w:rPr>
          <w:rFonts w:ascii="Times New Roman" w:hAnsi="Times New Roman" w:cs="Times New Roman"/>
          <w:bCs/>
          <w:color w:val="FF0000"/>
          <w:sz w:val="20"/>
          <w:szCs w:val="20"/>
        </w:rPr>
        <w:t>)))</w:t>
      </w:r>
    </w:p>
    <w:p w:rsidR="00AF4E89" w:rsidRPr="00E42142" w:rsidRDefault="00AF4E89" w:rsidP="00E42142">
      <w:pPr>
        <w:spacing w:before="120" w:after="0" w:line="360" w:lineRule="auto"/>
        <w:rPr>
          <w:rFonts w:ascii="Times New Roman" w:hAnsi="Times New Roman" w:cs="Times New Roman"/>
          <w:bCs/>
          <w:sz w:val="22"/>
          <w:szCs w:val="22"/>
        </w:rPr>
      </w:pPr>
    </w:p>
    <w:p w:rsidR="00AF4E89" w:rsidRPr="00E42142" w:rsidRDefault="00AF4E89" w:rsidP="00E42142">
      <w:pPr>
        <w:spacing w:before="120" w:after="0" w:line="360" w:lineRule="auto"/>
        <w:rPr>
          <w:rFonts w:ascii="Times New Roman" w:hAnsi="Times New Roman" w:cs="Times New Roman"/>
          <w:sz w:val="22"/>
          <w:szCs w:val="22"/>
        </w:rPr>
      </w:pPr>
    </w:p>
    <w:p w:rsidR="00AF4E89" w:rsidRPr="00E42142" w:rsidRDefault="005A6E1A" w:rsidP="00E42142">
      <w:pPr>
        <w:pStyle w:val="Titre1"/>
        <w:numPr>
          <w:ilvl w:val="0"/>
          <w:numId w:val="0"/>
        </w:numPr>
        <w:spacing w:before="120" w:after="0" w:line="360" w:lineRule="auto"/>
        <w:ind w:left="357" w:hanging="357"/>
        <w:rPr>
          <w:rFonts w:ascii="Times New Roman" w:hAnsi="Times New Roman" w:cs="Times New Roman"/>
          <w:sz w:val="22"/>
          <w:szCs w:val="22"/>
          <w:u w:val="none"/>
        </w:rPr>
      </w:pPr>
      <w:r w:rsidRPr="00E42142">
        <w:rPr>
          <w:rFonts w:ascii="Times New Roman" w:hAnsi="Times New Roman" w:cs="Times New Roman"/>
          <w:sz w:val="22"/>
          <w:szCs w:val="22"/>
          <w:u w:val="none"/>
        </w:rPr>
        <w:t>ARCELOR SANS MITTAL</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Reste alors l’appel à la puissance publique. L’État devrait prendre en charge les investissements pour qu’Arcelor encaisse les profits.</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color w:val="0070C0"/>
          <w:sz w:val="22"/>
          <w:szCs w:val="22"/>
        </w:rPr>
        <w:t>Face à ce chantage à l’emploi, la nationalisation apparaît comme une solution moins coûteuse</w:t>
      </w:r>
      <w:r w:rsidRPr="00E42142">
        <w:rPr>
          <w:rFonts w:ascii="Times New Roman" w:hAnsi="Times New Roman" w:cs="Times New Roman"/>
          <w:sz w:val="22"/>
          <w:szCs w:val="22"/>
        </w:rPr>
        <w:t>. Quelle que soit la méthode retenue pour en calculer le coût, elle est relativement peu coûteuse, entre 1,4</w:t>
      </w:r>
      <w:r w:rsidRPr="005A6E1A">
        <w:t xml:space="preserve"> </w:t>
      </w:r>
      <w:r w:rsidRPr="00E42142">
        <w:rPr>
          <w:rFonts w:ascii="Times New Roman" w:hAnsi="Times New Roman" w:cs="Times New Roman"/>
          <w:sz w:val="22"/>
          <w:szCs w:val="22"/>
        </w:rPr>
        <w:t>et 1,9</w:t>
      </w:r>
      <w:r w:rsidR="005A6E1A">
        <w:rPr>
          <w:rFonts w:ascii="Times New Roman" w:hAnsi="Times New Roman" w:cs="Times New Roman"/>
          <w:sz w:val="22"/>
          <w:szCs w:val="22"/>
        </w:rPr>
        <w:t> </w:t>
      </w:r>
      <w:r w:rsidR="00377B09">
        <w:rPr>
          <w:rFonts w:ascii="Times New Roman" w:hAnsi="Times New Roman" w:cs="Times New Roman"/>
          <w:sz w:val="22"/>
          <w:szCs w:val="22"/>
        </w:rPr>
        <w:t>milliard</w:t>
      </w:r>
      <w:r w:rsidRPr="00E42142">
        <w:rPr>
          <w:rFonts w:ascii="Times New Roman" w:hAnsi="Times New Roman" w:cs="Times New Roman"/>
          <w:sz w:val="22"/>
          <w:szCs w:val="22"/>
        </w:rPr>
        <w:t xml:space="preserve"> d’euros, à peine </w:t>
      </w:r>
      <w:r w:rsidR="005A6E1A">
        <w:rPr>
          <w:rFonts w:ascii="Times New Roman" w:hAnsi="Times New Roman" w:cs="Times New Roman"/>
          <w:sz w:val="22"/>
          <w:szCs w:val="22"/>
        </w:rPr>
        <w:t xml:space="preserve">le </w:t>
      </w:r>
      <w:r w:rsidRPr="00E42142">
        <w:rPr>
          <w:rFonts w:ascii="Times New Roman" w:hAnsi="Times New Roman" w:cs="Times New Roman"/>
          <w:sz w:val="22"/>
          <w:szCs w:val="22"/>
        </w:rPr>
        <w:t>double de ce que l’État s’est engagé à verser à ArcelorMittal pour décarboner ses hauts-fourneaux sur le seul site de Dunkerque !</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 xml:space="preserve">Il n’y a donc vraiment aucune raison de laisser ArcelorMittal exercer ce chantage à l’emploi et repousser la décarbonation. À l’inverse, la nationalisation ne doit pas être une redite de 1982 quand l’État a revendu </w:t>
      </w:r>
      <w:r w:rsidRPr="00E42142">
        <w:rPr>
          <w:rFonts w:ascii="Times New Roman" w:hAnsi="Times New Roman" w:cs="Times New Roman"/>
          <w:sz w:val="22"/>
          <w:szCs w:val="22"/>
        </w:rPr>
        <w:lastRenderedPageBreak/>
        <w:t xml:space="preserve">Usinor pour moins de 10 milliards de francs… après y avoir investi 23,4 milliards de </w:t>
      </w:r>
      <w:r w:rsidR="005A6E1A">
        <w:rPr>
          <w:rFonts w:ascii="Times New Roman" w:hAnsi="Times New Roman" w:cs="Times New Roman"/>
          <w:sz w:val="22"/>
          <w:szCs w:val="22"/>
        </w:rPr>
        <w:t xml:space="preserve">francs (17,5 en investissements </w:t>
      </w:r>
      <w:r w:rsidRPr="00E42142">
        <w:rPr>
          <w:rFonts w:ascii="Times New Roman" w:hAnsi="Times New Roman" w:cs="Times New Roman"/>
          <w:sz w:val="22"/>
          <w:szCs w:val="22"/>
        </w:rPr>
        <w:t>et 5,9</w:t>
      </w:r>
      <w:r w:rsidR="005A6E1A">
        <w:rPr>
          <w:rFonts w:ascii="Times New Roman" w:hAnsi="Times New Roman" w:cs="Times New Roman"/>
          <w:sz w:val="22"/>
          <w:szCs w:val="22"/>
        </w:rPr>
        <w:t> </w:t>
      </w:r>
      <w:r w:rsidRPr="00E42142">
        <w:rPr>
          <w:rFonts w:ascii="Times New Roman" w:hAnsi="Times New Roman" w:cs="Times New Roman"/>
          <w:sz w:val="22"/>
          <w:szCs w:val="22"/>
        </w:rPr>
        <w:t>pour la nationalisation et la recapitalisation).</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L’acier doit être nationalisé</w:t>
      </w:r>
      <w:r w:rsidR="00377B09">
        <w:rPr>
          <w:rFonts w:ascii="Times New Roman" w:hAnsi="Times New Roman" w:cs="Times New Roman"/>
          <w:sz w:val="22"/>
          <w:szCs w:val="22"/>
        </w:rPr>
        <w:t>,</w:t>
      </w:r>
      <w:r w:rsidRPr="00E42142">
        <w:rPr>
          <w:rFonts w:ascii="Times New Roman" w:hAnsi="Times New Roman" w:cs="Times New Roman"/>
          <w:sz w:val="22"/>
          <w:szCs w:val="22"/>
        </w:rPr>
        <w:t xml:space="preserve"> </w:t>
      </w:r>
      <w:r w:rsidRPr="00377B09">
        <w:rPr>
          <w:rFonts w:ascii="Times New Roman" w:hAnsi="Times New Roman" w:cs="Times New Roman"/>
          <w:sz w:val="22"/>
          <w:szCs w:val="22"/>
        </w:rPr>
        <w:t xml:space="preserve">et </w:t>
      </w:r>
      <w:r w:rsidR="00377B09">
        <w:rPr>
          <w:rFonts w:ascii="Times New Roman" w:hAnsi="Times New Roman" w:cs="Times New Roman"/>
          <w:sz w:val="22"/>
          <w:szCs w:val="22"/>
        </w:rPr>
        <w:t>transformé en</w:t>
      </w:r>
      <w:r w:rsidRPr="00E42142">
        <w:rPr>
          <w:rFonts w:ascii="Times New Roman" w:hAnsi="Times New Roman" w:cs="Times New Roman"/>
          <w:sz w:val="22"/>
          <w:szCs w:val="22"/>
        </w:rPr>
        <w:t xml:space="preserve"> établissement public industriel et commercial (EPIC) comme EDF ou GDF à la Libération. </w:t>
      </w:r>
      <w:r w:rsidRPr="00FB6C22">
        <w:rPr>
          <w:rFonts w:ascii="Times New Roman" w:hAnsi="Times New Roman" w:cs="Times New Roman"/>
          <w:color w:val="0070C0"/>
          <w:sz w:val="22"/>
          <w:szCs w:val="22"/>
        </w:rPr>
        <w:t xml:space="preserve">Comme l’énergie, l’acier est un service public. </w:t>
      </w:r>
      <w:r w:rsidRPr="00E42142">
        <w:rPr>
          <w:rFonts w:ascii="Times New Roman" w:hAnsi="Times New Roman" w:cs="Times New Roman"/>
          <w:color w:val="0070C0"/>
          <w:sz w:val="22"/>
          <w:szCs w:val="22"/>
        </w:rPr>
        <w:t>Il n’y aura pas de réindustrialisation ou de décarbonation sans acier</w:t>
      </w:r>
      <w:r w:rsidRPr="00E42142">
        <w:rPr>
          <w:rFonts w:ascii="Times New Roman" w:hAnsi="Times New Roman" w:cs="Times New Roman"/>
          <w:sz w:val="22"/>
          <w:szCs w:val="22"/>
        </w:rPr>
        <w:t>. Arcelor sans Mittal serait une entreprise rentable qui autofinancerait largement le coût des investissements</w:t>
      </w:r>
      <w:r w:rsidR="00FB6C22">
        <w:rPr>
          <w:rFonts w:ascii="Times New Roman" w:hAnsi="Times New Roman" w:cs="Times New Roman"/>
          <w:sz w:val="22"/>
          <w:szCs w:val="22"/>
        </w:rPr>
        <w:t>,</w:t>
      </w:r>
      <w:r w:rsidRPr="00E42142">
        <w:rPr>
          <w:rFonts w:ascii="Times New Roman" w:hAnsi="Times New Roman" w:cs="Times New Roman"/>
          <w:sz w:val="22"/>
          <w:szCs w:val="22"/>
        </w:rPr>
        <w:t xml:space="preserve"> et même de la nationalisation si, au lieu d’exproprier et d’indemniser les actionnaires, on transforme leurs actions en obligations qu’on rembourse tranche par tranche, comme cela fut fait pour EDF ou GDF.</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 xml:space="preserve">Présentement, </w:t>
      </w:r>
      <w:r w:rsidR="005A6E1A">
        <w:rPr>
          <w:rFonts w:ascii="Times New Roman" w:hAnsi="Times New Roman" w:cs="Times New Roman"/>
          <w:sz w:val="22"/>
          <w:szCs w:val="22"/>
        </w:rPr>
        <w:t>1 t</w:t>
      </w:r>
      <w:r w:rsidRPr="00E42142">
        <w:rPr>
          <w:rFonts w:ascii="Times New Roman" w:hAnsi="Times New Roman" w:cs="Times New Roman"/>
          <w:sz w:val="22"/>
          <w:szCs w:val="22"/>
        </w:rPr>
        <w:t xml:space="preserve"> d’acier coûte entre 641 €</w:t>
      </w:r>
      <w:r w:rsidR="005A6E1A">
        <w:rPr>
          <w:rFonts w:ascii="Times New Roman" w:hAnsi="Times New Roman" w:cs="Times New Roman"/>
          <w:sz w:val="22"/>
          <w:szCs w:val="22"/>
        </w:rPr>
        <w:t xml:space="preserve"> et 785 € à produire en Europe,</w:t>
      </w:r>
      <w:r w:rsidRPr="00E42142">
        <w:rPr>
          <w:rFonts w:ascii="Times New Roman" w:hAnsi="Times New Roman" w:cs="Times New Roman"/>
          <w:sz w:val="22"/>
          <w:szCs w:val="22"/>
        </w:rPr>
        <w:t xml:space="preserve"> un chiffre en très forte hausse par rapport à 2021 où il s’établissait à 460 €. En 2024, la tonne d’acier se vendait encore à 937 €, un chiffre pour le coup en forte baisse par rapport à 2023 (1 026 €). On comprend que cet effet-ciseaux inquiète les actionnaires d’ArcelorMittal. Néanmoins, cela laisse une marge confortable de 152 € à 296 € par tonne.</w:t>
      </w:r>
    </w:p>
    <w:p w:rsidR="00AF4E89" w:rsidRPr="00E42142" w:rsidRDefault="00415463" w:rsidP="00E42142">
      <w:pPr>
        <w:spacing w:before="120" w:after="0" w:line="360" w:lineRule="auto"/>
        <w:rPr>
          <w:rFonts w:ascii="Times New Roman" w:hAnsi="Times New Roman" w:cs="Times New Roman"/>
          <w:sz w:val="22"/>
          <w:szCs w:val="22"/>
        </w:rPr>
      </w:pPr>
      <w:r w:rsidRPr="00E42142">
        <w:rPr>
          <w:rFonts w:ascii="Times New Roman" w:hAnsi="Times New Roman" w:cs="Times New Roman"/>
          <w:sz w:val="22"/>
          <w:szCs w:val="22"/>
        </w:rPr>
        <w:t>Même en intégrant au coût de production l’amortissement des investissements (11 €/t) et de la nationalisation (3,20 €/t), on arrive à un prix de production entre 655 € et 799 €, soit une réduction potentielle du prix de vente de 14 % à 30 %. Cela constitue une économie importante pour la collectivité, ne serait-ce que pour développement du réseau ferré et électrique, pour les travailleurs et les travailleuses quand ils font construire ou rénovent leur maison, mais aussi pour les entreprises de la métallurgie qui y trouveront une source d’économie et de compétitivité importante.</w:t>
      </w:r>
    </w:p>
    <w:p w:rsidR="00AF4E89" w:rsidRPr="00E42142" w:rsidRDefault="00AF4E89" w:rsidP="00E42142">
      <w:pPr>
        <w:spacing w:before="120" w:after="0" w:line="360" w:lineRule="auto"/>
        <w:rPr>
          <w:rFonts w:ascii="Times New Roman" w:hAnsi="Times New Roman" w:cs="Times New Roman"/>
          <w:sz w:val="22"/>
          <w:szCs w:val="22"/>
        </w:rPr>
      </w:pPr>
    </w:p>
    <w:p w:rsidR="00AF4E89" w:rsidRPr="005A6E1A" w:rsidRDefault="003671C0" w:rsidP="005A6E1A">
      <w:pPr>
        <w:spacing w:before="120" w:after="0" w:line="360" w:lineRule="auto"/>
        <w:jc w:val="right"/>
        <w:rPr>
          <w:rFonts w:ascii="Times New Roman" w:hAnsi="Times New Roman" w:cs="Times New Roman"/>
          <w:sz w:val="22"/>
          <w:szCs w:val="22"/>
        </w:rPr>
      </w:pPr>
      <w:r>
        <w:rPr>
          <w:rFonts w:ascii="Times New Roman" w:hAnsi="Times New Roman" w:cs="Times New Roman"/>
          <w:sz w:val="22"/>
          <w:szCs w:val="22"/>
        </w:rPr>
        <w:t>*</w:t>
      </w:r>
      <w:r w:rsidRPr="005A6E1A">
        <w:rPr>
          <w:rFonts w:ascii="Times New Roman" w:hAnsi="Times New Roman" w:cs="Times New Roman"/>
          <w:sz w:val="22"/>
          <w:szCs w:val="22"/>
        </w:rPr>
        <w:t>KEVIN GUILLAS-CAVAN</w:t>
      </w:r>
      <w:r w:rsidR="00415463" w:rsidRPr="005A6E1A">
        <w:rPr>
          <w:rFonts w:ascii="Times New Roman" w:hAnsi="Times New Roman" w:cs="Times New Roman"/>
          <w:sz w:val="22"/>
          <w:szCs w:val="22"/>
        </w:rPr>
        <w:t xml:space="preserve"> </w:t>
      </w:r>
      <w:r w:rsidR="005A6E1A" w:rsidRPr="003671C0">
        <w:rPr>
          <w:rFonts w:ascii="Times New Roman" w:hAnsi="Times New Roman" w:cs="Times New Roman"/>
          <w:sz w:val="22"/>
          <w:szCs w:val="22"/>
          <w:highlight w:val="yellow"/>
        </w:rPr>
        <w:t>est</w:t>
      </w:r>
      <w:r w:rsidRPr="003671C0">
        <w:rPr>
          <w:rFonts w:ascii="Times New Roman" w:hAnsi="Times New Roman" w:cs="Times New Roman"/>
          <w:sz w:val="22"/>
          <w:szCs w:val="22"/>
          <w:highlight w:val="yellow"/>
        </w:rPr>
        <w:t xml:space="preserve"> chercheur associé à l’IRES</w:t>
      </w:r>
      <w:r>
        <w:rPr>
          <w:rFonts w:ascii="Times New Roman" w:hAnsi="Times New Roman" w:cs="Times New Roman"/>
          <w:sz w:val="22"/>
          <w:szCs w:val="22"/>
        </w:rPr>
        <w:t>.</w:t>
      </w:r>
      <w:r w:rsidR="005A6E1A" w:rsidRPr="005A6E1A">
        <w:rPr>
          <w:rFonts w:ascii="Times New Roman" w:hAnsi="Times New Roman" w:cs="Times New Roman"/>
          <w:sz w:val="22"/>
          <w:szCs w:val="22"/>
        </w:rPr>
        <w:br/>
      </w:r>
      <w:r w:rsidRPr="005A6E1A">
        <w:rPr>
          <w:rFonts w:ascii="Times New Roman" w:hAnsi="Times New Roman" w:cs="Times New Roman"/>
          <w:sz w:val="22"/>
          <w:szCs w:val="22"/>
        </w:rPr>
        <w:t>TIBOR SARCEY</w:t>
      </w:r>
      <w:r w:rsidR="005A6E1A">
        <w:rPr>
          <w:rFonts w:ascii="Times New Roman" w:hAnsi="Times New Roman" w:cs="Times New Roman"/>
          <w:sz w:val="22"/>
          <w:szCs w:val="22"/>
        </w:rPr>
        <w:t xml:space="preserve"> </w:t>
      </w:r>
      <w:r w:rsidR="005A6E1A" w:rsidRPr="003671C0">
        <w:rPr>
          <w:rFonts w:ascii="Times New Roman" w:hAnsi="Times New Roman" w:cs="Times New Roman"/>
          <w:sz w:val="22"/>
          <w:szCs w:val="22"/>
          <w:highlight w:val="yellow"/>
        </w:rPr>
        <w:t>est</w:t>
      </w:r>
      <w:r w:rsidRPr="003671C0">
        <w:rPr>
          <w:rFonts w:ascii="Times New Roman" w:hAnsi="Times New Roman" w:cs="Times New Roman"/>
          <w:sz w:val="22"/>
          <w:szCs w:val="22"/>
          <w:highlight w:val="yellow"/>
        </w:rPr>
        <w:t xml:space="preserve"> économiste</w:t>
      </w:r>
      <w:r>
        <w:rPr>
          <w:rFonts w:ascii="Times New Roman" w:hAnsi="Times New Roman" w:cs="Times New Roman"/>
          <w:sz w:val="22"/>
          <w:szCs w:val="22"/>
        </w:rPr>
        <w:t>.</w:t>
      </w:r>
    </w:p>
    <w:p w:rsidR="00AF4E89" w:rsidRPr="005A6E1A" w:rsidRDefault="00AF4E89" w:rsidP="00E42142">
      <w:pPr>
        <w:spacing w:before="120" w:after="0" w:line="360" w:lineRule="auto"/>
        <w:rPr>
          <w:rFonts w:ascii="Arial Bold" w:hAnsi="Arial Bold" w:cs="Arial Bold"/>
          <w:b/>
          <w:bCs/>
        </w:rPr>
      </w:pPr>
    </w:p>
    <w:p w:rsidR="00AF4E89" w:rsidRPr="003671C0" w:rsidRDefault="000059EF" w:rsidP="000059EF">
      <w:pPr>
        <w:spacing w:before="120" w:after="0" w:line="360" w:lineRule="auto"/>
        <w:rPr>
          <w:rFonts w:ascii="Calibri" w:hAnsi="Calibri" w:cs="Calibri"/>
          <w:sz w:val="20"/>
          <w:szCs w:val="20"/>
        </w:rPr>
      </w:pPr>
      <w:r>
        <w:rPr>
          <w:rFonts w:ascii="Calibri" w:eastAsia="Calibri" w:hAnsi="Calibri" w:cs="Calibri"/>
          <w:color w:val="000000" w:themeColor="text1"/>
          <w:kern w:val="24"/>
          <w:sz w:val="20"/>
          <w:szCs w:val="20"/>
        </w:rPr>
        <w:t>1. </w:t>
      </w:r>
      <w:r w:rsidR="00415463" w:rsidRPr="003671C0">
        <w:rPr>
          <w:rFonts w:ascii="Calibri" w:eastAsia="Calibri" w:hAnsi="Calibri" w:cs="Calibri"/>
          <w:color w:val="000000" w:themeColor="text1"/>
          <w:kern w:val="24"/>
          <w:sz w:val="20"/>
          <w:szCs w:val="20"/>
        </w:rPr>
        <w:t xml:space="preserve">Présentation </w:t>
      </w:r>
      <w:r>
        <w:rPr>
          <w:rFonts w:ascii="Calibri" w:eastAsia="Calibri" w:hAnsi="Calibri" w:cs="Calibri"/>
          <w:color w:val="000000" w:themeColor="text1"/>
          <w:kern w:val="24"/>
          <w:sz w:val="20"/>
          <w:szCs w:val="20"/>
        </w:rPr>
        <w:t xml:space="preserve">de </w:t>
      </w:r>
      <w:r w:rsidR="00415463" w:rsidRPr="003671C0">
        <w:rPr>
          <w:rFonts w:ascii="Calibri" w:eastAsia="Calibri" w:hAnsi="Calibri" w:cs="Calibri"/>
          <w:color w:val="000000" w:themeColor="text1"/>
          <w:kern w:val="24"/>
          <w:sz w:val="20"/>
          <w:szCs w:val="20"/>
        </w:rPr>
        <w:t>Stéphane T</w:t>
      </w:r>
      <w:r w:rsidRPr="003671C0">
        <w:rPr>
          <w:rFonts w:ascii="Calibri" w:eastAsia="Calibri" w:hAnsi="Calibri" w:cs="Calibri"/>
          <w:color w:val="000000" w:themeColor="text1"/>
          <w:kern w:val="24"/>
          <w:sz w:val="20"/>
          <w:szCs w:val="20"/>
        </w:rPr>
        <w:t>ondo</w:t>
      </w:r>
      <w:r w:rsidR="00415463" w:rsidRPr="003671C0">
        <w:rPr>
          <w:rFonts w:ascii="Calibri" w:eastAsia="Calibri" w:hAnsi="Calibri" w:cs="Calibri"/>
          <w:color w:val="000000" w:themeColor="text1"/>
          <w:kern w:val="24"/>
          <w:sz w:val="20"/>
          <w:szCs w:val="20"/>
        </w:rPr>
        <w:t>, actuel responsable de la décarbo</w:t>
      </w:r>
      <w:r>
        <w:rPr>
          <w:rFonts w:ascii="Calibri" w:eastAsia="Calibri" w:hAnsi="Calibri" w:cs="Calibri"/>
          <w:color w:val="000000" w:themeColor="text1"/>
          <w:kern w:val="24"/>
          <w:sz w:val="20"/>
          <w:szCs w:val="20"/>
        </w:rPr>
        <w:t xml:space="preserve">nation du groupe ArcelorMittal, </w:t>
      </w:r>
      <w:r w:rsidR="00415463" w:rsidRPr="003671C0">
        <w:rPr>
          <w:rFonts w:ascii="Calibri" w:eastAsia="Calibri" w:hAnsi="Calibri" w:cs="Calibri"/>
          <w:color w:val="000000" w:themeColor="text1"/>
          <w:kern w:val="24"/>
          <w:sz w:val="20"/>
          <w:szCs w:val="20"/>
        </w:rPr>
        <w:t>lors de la Conférence Green Steel for Europe organisée par l’European Research Executive Agency de la Commission européenne, 21 janvier</w:t>
      </w:r>
      <w:r>
        <w:rPr>
          <w:rFonts w:ascii="Calibri" w:eastAsia="Calibri" w:hAnsi="Calibri" w:cs="Calibri"/>
          <w:color w:val="000000" w:themeColor="text1"/>
          <w:kern w:val="24"/>
          <w:sz w:val="20"/>
          <w:szCs w:val="20"/>
        </w:rPr>
        <w:t xml:space="preserve"> 2021</w:t>
      </w:r>
      <w:r w:rsidR="00415463" w:rsidRPr="003671C0">
        <w:rPr>
          <w:rFonts w:ascii="Calibri" w:eastAsia="Calibri" w:hAnsi="Calibri" w:cs="Calibri"/>
          <w:color w:val="000000" w:themeColor="text1"/>
          <w:kern w:val="24"/>
          <w:sz w:val="20"/>
          <w:szCs w:val="20"/>
        </w:rPr>
        <w:t>.</w:t>
      </w:r>
    </w:p>
    <w:p w:rsidR="00AF4E89" w:rsidRDefault="00AF4E89" w:rsidP="00E42142">
      <w:pPr>
        <w:spacing w:before="120" w:after="0" w:line="360" w:lineRule="auto"/>
        <w:rPr>
          <w:rFonts w:ascii="Arial Regular" w:hAnsi="Arial Regular" w:cs="Arial Regular"/>
        </w:rPr>
      </w:pPr>
    </w:p>
    <w:p w:rsidR="00AF4E89" w:rsidRPr="00FB6C22" w:rsidRDefault="00AF4E89" w:rsidP="00FB6C22">
      <w:pPr>
        <w:spacing w:after="0"/>
        <w:jc w:val="left"/>
        <w:rPr>
          <w:rFonts w:ascii="Arial Regular" w:hAnsi="Arial Regular" w:cs="Arial Regular"/>
        </w:rPr>
      </w:pPr>
    </w:p>
    <w:sectPr w:rsidR="00AF4E89" w:rsidRPr="00FB6C22">
      <w:pgSz w:w="11906" w:h="16838"/>
      <w:pgMar w:top="1411" w:right="1411" w:bottom="1411" w:left="14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89" w:rsidRDefault="00DC1589">
      <w:r>
        <w:separator/>
      </w:r>
    </w:p>
  </w:endnote>
  <w:endnote w:type="continuationSeparator" w:id="0">
    <w:p w:rsidR="00DC1589" w:rsidRDefault="00DC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等线 Light">
    <w:altName w:val="汉仪中等线KW"/>
    <w:charset w:val="00"/>
    <w:family w:val="auto"/>
    <w:pitch w:val="default"/>
  </w:font>
  <w:font w:name="Arial Regular">
    <w:altName w:val="Times New Roman"/>
    <w:charset w:val="00"/>
    <w:family w:val="auto"/>
    <w:pitch w:val="default"/>
    <w:sig w:usb0="E0000AFF" w:usb1="00007843" w:usb2="00000001" w:usb3="00000000" w:csb0="400001BF" w:csb1="DFF7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Bold">
    <w:altName w:val="Times New Roman"/>
    <w:charset w:val="00"/>
    <w:family w:val="auto"/>
    <w:pitch w:val="default"/>
    <w:sig w:usb0="E0000AFF" w:usb1="00007843" w:usb2="00000001" w:usb3="00000000" w:csb0="400001BF" w:csb1="DFF7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default"/>
    <w:sig w:usb0="00000000" w:usb1="00000000"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89" w:rsidRDefault="00DC1589">
      <w:pPr>
        <w:spacing w:after="0"/>
      </w:pPr>
      <w:r>
        <w:separator/>
      </w:r>
    </w:p>
  </w:footnote>
  <w:footnote w:type="continuationSeparator" w:id="0">
    <w:p w:rsidR="00DC1589" w:rsidRDefault="00DC15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A20582"/>
    <w:multiLevelType w:val="singleLevel"/>
    <w:tmpl w:val="FFA20582"/>
    <w:lvl w:ilvl="0">
      <w:start w:val="1"/>
      <w:numFmt w:val="decimal"/>
      <w:suff w:val="space"/>
      <w:lvlText w:val="(%1)"/>
      <w:lvlJc w:val="left"/>
    </w:lvl>
  </w:abstractNum>
  <w:abstractNum w:abstractNumId="1" w15:restartNumberingAfterBreak="0">
    <w:nsid w:val="37F86188"/>
    <w:multiLevelType w:val="multilevel"/>
    <w:tmpl w:val="37F86188"/>
    <w:lvl w:ilvl="0">
      <w:start w:val="1"/>
      <w:numFmt w:val="decimal"/>
      <w:pStyle w:val="Titre1"/>
      <w:lvlText w:val="%1."/>
      <w:lvlJc w:val="left"/>
      <w:pPr>
        <w:ind w:left="360" w:hanging="36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443B4A55"/>
    <w:multiLevelType w:val="multilevel"/>
    <w:tmpl w:val="443B4A55"/>
    <w:lvl w:ilvl="0">
      <w:start w:val="1"/>
      <w:numFmt w:val="decimal"/>
      <w:pStyle w:val="Titre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51CC3A5D"/>
    <w:multiLevelType w:val="multilevel"/>
    <w:tmpl w:val="51CC3A5D"/>
    <w:lvl w:ilvl="0">
      <w:start w:val="1"/>
      <w:numFmt w:val="decimal"/>
      <w:pStyle w:val="Titre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853CA4"/>
    <w:multiLevelType w:val="multilevel"/>
    <w:tmpl w:val="58853C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520"/>
        </w:tabs>
        <w:ind w:left="2520" w:hanging="720"/>
      </w:pPr>
    </w:lvl>
    <w:lvl w:ilvl="3">
      <w:start w:val="1"/>
      <w:numFmt w:val="decimal"/>
      <w:lvlText w:val="%4."/>
      <w:lvlJc w:val="left"/>
      <w:pPr>
        <w:tabs>
          <w:tab w:val="left" w:pos="3240"/>
        </w:tabs>
        <w:ind w:left="3240" w:hanging="720"/>
      </w:pPr>
    </w:lvl>
    <w:lvl w:ilvl="4">
      <w:start w:val="1"/>
      <w:numFmt w:val="decimal"/>
      <w:lvlText w:val="%5."/>
      <w:lvlJc w:val="left"/>
      <w:pPr>
        <w:tabs>
          <w:tab w:val="left" w:pos="3960"/>
        </w:tabs>
        <w:ind w:left="3960" w:hanging="720"/>
      </w:pPr>
    </w:lvl>
    <w:lvl w:ilvl="5">
      <w:start w:val="1"/>
      <w:numFmt w:val="decimal"/>
      <w:lvlText w:val="%6."/>
      <w:lvlJc w:val="left"/>
      <w:pPr>
        <w:tabs>
          <w:tab w:val="left" w:pos="4680"/>
        </w:tabs>
        <w:ind w:left="4680" w:hanging="720"/>
      </w:pPr>
    </w:lvl>
    <w:lvl w:ilvl="6">
      <w:start w:val="1"/>
      <w:numFmt w:val="decimal"/>
      <w:lvlText w:val="%7."/>
      <w:lvlJc w:val="left"/>
      <w:pPr>
        <w:tabs>
          <w:tab w:val="left" w:pos="5400"/>
        </w:tabs>
        <w:ind w:left="5400" w:hanging="720"/>
      </w:pPr>
    </w:lvl>
    <w:lvl w:ilvl="7">
      <w:start w:val="1"/>
      <w:numFmt w:val="decimal"/>
      <w:lvlText w:val="%8."/>
      <w:lvlJc w:val="left"/>
      <w:pPr>
        <w:tabs>
          <w:tab w:val="left" w:pos="6120"/>
        </w:tabs>
        <w:ind w:left="6120" w:hanging="720"/>
      </w:pPr>
    </w:lvl>
    <w:lvl w:ilvl="8">
      <w:start w:val="1"/>
      <w:numFmt w:val="decimal"/>
      <w:lvlText w:val="%9."/>
      <w:lvlJc w:val="left"/>
      <w:pPr>
        <w:tabs>
          <w:tab w:val="left" w:pos="6840"/>
        </w:tabs>
        <w:ind w:left="6840" w:hanging="7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9C"/>
    <w:rsid w:val="F9EB3EE0"/>
    <w:rsid w:val="FCBD55B1"/>
    <w:rsid w:val="000059EF"/>
    <w:rsid w:val="00013172"/>
    <w:rsid w:val="00014F36"/>
    <w:rsid w:val="00017299"/>
    <w:rsid w:val="000346DF"/>
    <w:rsid w:val="00041FE4"/>
    <w:rsid w:val="000502A5"/>
    <w:rsid w:val="00055EDD"/>
    <w:rsid w:val="000C6A1B"/>
    <w:rsid w:val="000D295B"/>
    <w:rsid w:val="000D6C89"/>
    <w:rsid w:val="0012203C"/>
    <w:rsid w:val="00132B3F"/>
    <w:rsid w:val="0013594B"/>
    <w:rsid w:val="001577C8"/>
    <w:rsid w:val="00161C82"/>
    <w:rsid w:val="001634B3"/>
    <w:rsid w:val="001662E3"/>
    <w:rsid w:val="001A2130"/>
    <w:rsid w:val="001A79D0"/>
    <w:rsid w:val="001B5124"/>
    <w:rsid w:val="001C6774"/>
    <w:rsid w:val="001D68D6"/>
    <w:rsid w:val="0021476B"/>
    <w:rsid w:val="00231488"/>
    <w:rsid w:val="0026045D"/>
    <w:rsid w:val="00266FB9"/>
    <w:rsid w:val="002854D5"/>
    <w:rsid w:val="00291684"/>
    <w:rsid w:val="00296780"/>
    <w:rsid w:val="002B2D9A"/>
    <w:rsid w:val="002B4553"/>
    <w:rsid w:val="002D4F6B"/>
    <w:rsid w:val="00301EC0"/>
    <w:rsid w:val="00303A6C"/>
    <w:rsid w:val="003078D3"/>
    <w:rsid w:val="003136A1"/>
    <w:rsid w:val="00331827"/>
    <w:rsid w:val="00333E8F"/>
    <w:rsid w:val="00345BAD"/>
    <w:rsid w:val="00346249"/>
    <w:rsid w:val="00362B01"/>
    <w:rsid w:val="003671C0"/>
    <w:rsid w:val="00377B09"/>
    <w:rsid w:val="00386C11"/>
    <w:rsid w:val="00386F97"/>
    <w:rsid w:val="003900E6"/>
    <w:rsid w:val="00394743"/>
    <w:rsid w:val="003A366A"/>
    <w:rsid w:val="003D7861"/>
    <w:rsid w:val="003E0B89"/>
    <w:rsid w:val="003F3590"/>
    <w:rsid w:val="004035B5"/>
    <w:rsid w:val="00405BC1"/>
    <w:rsid w:val="00415463"/>
    <w:rsid w:val="004513AE"/>
    <w:rsid w:val="00455AF5"/>
    <w:rsid w:val="00460919"/>
    <w:rsid w:val="00472485"/>
    <w:rsid w:val="004B5EDE"/>
    <w:rsid w:val="004C6182"/>
    <w:rsid w:val="004D767F"/>
    <w:rsid w:val="004F1B0F"/>
    <w:rsid w:val="005233CF"/>
    <w:rsid w:val="00554070"/>
    <w:rsid w:val="00561CAF"/>
    <w:rsid w:val="00584487"/>
    <w:rsid w:val="005A6E1A"/>
    <w:rsid w:val="005D1B9F"/>
    <w:rsid w:val="00613214"/>
    <w:rsid w:val="006133F9"/>
    <w:rsid w:val="00623A79"/>
    <w:rsid w:val="006A2CC0"/>
    <w:rsid w:val="006A4B45"/>
    <w:rsid w:val="0070370E"/>
    <w:rsid w:val="007038A0"/>
    <w:rsid w:val="00712567"/>
    <w:rsid w:val="007141BB"/>
    <w:rsid w:val="00714674"/>
    <w:rsid w:val="00717DF3"/>
    <w:rsid w:val="00741CED"/>
    <w:rsid w:val="007447FF"/>
    <w:rsid w:val="007566F2"/>
    <w:rsid w:val="00774979"/>
    <w:rsid w:val="007A1A51"/>
    <w:rsid w:val="007A638C"/>
    <w:rsid w:val="007B3238"/>
    <w:rsid w:val="007C1A44"/>
    <w:rsid w:val="007E24EF"/>
    <w:rsid w:val="008128FF"/>
    <w:rsid w:val="0081485D"/>
    <w:rsid w:val="008249FD"/>
    <w:rsid w:val="00832ABF"/>
    <w:rsid w:val="008477E7"/>
    <w:rsid w:val="008557CB"/>
    <w:rsid w:val="00856D60"/>
    <w:rsid w:val="008670BF"/>
    <w:rsid w:val="0087369C"/>
    <w:rsid w:val="00880389"/>
    <w:rsid w:val="00887B6E"/>
    <w:rsid w:val="008902B1"/>
    <w:rsid w:val="008C353F"/>
    <w:rsid w:val="008F4404"/>
    <w:rsid w:val="00937EA0"/>
    <w:rsid w:val="0094189E"/>
    <w:rsid w:val="00956012"/>
    <w:rsid w:val="00963274"/>
    <w:rsid w:val="009740D5"/>
    <w:rsid w:val="00983754"/>
    <w:rsid w:val="009B3F31"/>
    <w:rsid w:val="009C6049"/>
    <w:rsid w:val="009D43AE"/>
    <w:rsid w:val="009F00C1"/>
    <w:rsid w:val="00A03037"/>
    <w:rsid w:val="00A10145"/>
    <w:rsid w:val="00A27F1A"/>
    <w:rsid w:val="00A5209A"/>
    <w:rsid w:val="00A63862"/>
    <w:rsid w:val="00A65909"/>
    <w:rsid w:val="00A8568B"/>
    <w:rsid w:val="00A9247A"/>
    <w:rsid w:val="00A9670C"/>
    <w:rsid w:val="00AA598B"/>
    <w:rsid w:val="00AB0A1F"/>
    <w:rsid w:val="00AB1A0E"/>
    <w:rsid w:val="00AB2F10"/>
    <w:rsid w:val="00AB49F5"/>
    <w:rsid w:val="00AC0B5C"/>
    <w:rsid w:val="00AC2A33"/>
    <w:rsid w:val="00AC61D1"/>
    <w:rsid w:val="00AC67E2"/>
    <w:rsid w:val="00AD22B3"/>
    <w:rsid w:val="00AF4E89"/>
    <w:rsid w:val="00B1584E"/>
    <w:rsid w:val="00B26A05"/>
    <w:rsid w:val="00B63DEA"/>
    <w:rsid w:val="00BA15CA"/>
    <w:rsid w:val="00BC6A8A"/>
    <w:rsid w:val="00BD4829"/>
    <w:rsid w:val="00C22847"/>
    <w:rsid w:val="00C501F9"/>
    <w:rsid w:val="00C60D98"/>
    <w:rsid w:val="00C64AAA"/>
    <w:rsid w:val="00C70CC3"/>
    <w:rsid w:val="00C763BA"/>
    <w:rsid w:val="00C842D0"/>
    <w:rsid w:val="00CA7F77"/>
    <w:rsid w:val="00CB7B23"/>
    <w:rsid w:val="00CC0AC8"/>
    <w:rsid w:val="00CC7626"/>
    <w:rsid w:val="00CC791C"/>
    <w:rsid w:val="00CD1A3B"/>
    <w:rsid w:val="00CE744D"/>
    <w:rsid w:val="00CF74AC"/>
    <w:rsid w:val="00D11776"/>
    <w:rsid w:val="00D301B7"/>
    <w:rsid w:val="00D54A77"/>
    <w:rsid w:val="00D55866"/>
    <w:rsid w:val="00D7453C"/>
    <w:rsid w:val="00D82F6F"/>
    <w:rsid w:val="00D83CB5"/>
    <w:rsid w:val="00DC1589"/>
    <w:rsid w:val="00DE2992"/>
    <w:rsid w:val="00DE7AF0"/>
    <w:rsid w:val="00DF0962"/>
    <w:rsid w:val="00DF53C0"/>
    <w:rsid w:val="00DF6A25"/>
    <w:rsid w:val="00E0011A"/>
    <w:rsid w:val="00E13CB1"/>
    <w:rsid w:val="00E20E30"/>
    <w:rsid w:val="00E32ED1"/>
    <w:rsid w:val="00E42142"/>
    <w:rsid w:val="00E456DC"/>
    <w:rsid w:val="00E50BCE"/>
    <w:rsid w:val="00E52F35"/>
    <w:rsid w:val="00E53012"/>
    <w:rsid w:val="00E55A37"/>
    <w:rsid w:val="00E60387"/>
    <w:rsid w:val="00E627B5"/>
    <w:rsid w:val="00E64FE5"/>
    <w:rsid w:val="00E93DC4"/>
    <w:rsid w:val="00E976B4"/>
    <w:rsid w:val="00EA2E3F"/>
    <w:rsid w:val="00EA4813"/>
    <w:rsid w:val="00EB7CAF"/>
    <w:rsid w:val="00ED2674"/>
    <w:rsid w:val="00EF2CBF"/>
    <w:rsid w:val="00EF7B78"/>
    <w:rsid w:val="00F12D6A"/>
    <w:rsid w:val="00F15C2A"/>
    <w:rsid w:val="00F15DEC"/>
    <w:rsid w:val="00F17AAB"/>
    <w:rsid w:val="00F33478"/>
    <w:rsid w:val="00F42084"/>
    <w:rsid w:val="00F53929"/>
    <w:rsid w:val="00F6335D"/>
    <w:rsid w:val="00F97644"/>
    <w:rsid w:val="00FB6C22"/>
    <w:rsid w:val="76DF222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A4C16B"/>
  <w15:docId w15:val="{52F7DE3D-4D3C-43FD-99F8-28AF22DB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jc w:val="both"/>
    </w:pPr>
    <w:rPr>
      <w:rFonts w:ascii="Garamond" w:hAnsi="Garamond"/>
      <w:kern w:val="2"/>
      <w:sz w:val="24"/>
      <w:szCs w:val="24"/>
      <w:lang w:eastAsia="en-US"/>
      <w14:ligatures w14:val="standardContextual"/>
    </w:rPr>
  </w:style>
  <w:style w:type="paragraph" w:styleId="Titre1">
    <w:name w:val="heading 1"/>
    <w:basedOn w:val="Normal"/>
    <w:next w:val="Normal"/>
    <w:link w:val="Titre1Car"/>
    <w:uiPriority w:val="9"/>
    <w:qFormat/>
    <w:pPr>
      <w:keepNext/>
      <w:numPr>
        <w:numId w:val="1"/>
      </w:numPr>
      <w:spacing w:before="360" w:after="240"/>
      <w:ind w:left="357" w:hanging="357"/>
      <w:outlineLvl w:val="0"/>
    </w:pPr>
    <w:rPr>
      <w:b/>
      <w:u w:val="single"/>
    </w:rPr>
  </w:style>
  <w:style w:type="paragraph" w:styleId="Titre2">
    <w:name w:val="heading 2"/>
    <w:basedOn w:val="Titre3"/>
    <w:next w:val="Normal"/>
    <w:link w:val="Titre2Car"/>
    <w:uiPriority w:val="9"/>
    <w:unhideWhenUsed/>
    <w:qFormat/>
    <w:pPr>
      <w:numPr>
        <w:numId w:val="2"/>
      </w:numPr>
      <w:ind w:left="0" w:firstLine="0"/>
      <w:outlineLvl w:val="1"/>
    </w:pPr>
  </w:style>
  <w:style w:type="paragraph" w:styleId="Titre3">
    <w:name w:val="heading 3"/>
    <w:basedOn w:val="Normal"/>
    <w:next w:val="Normal"/>
    <w:link w:val="Titre3Car"/>
    <w:uiPriority w:val="9"/>
    <w:unhideWhenUsed/>
    <w:qFormat/>
    <w:pPr>
      <w:keepNext/>
      <w:keepLines/>
      <w:numPr>
        <w:numId w:val="3"/>
      </w:numPr>
      <w:spacing w:before="160" w:after="80"/>
      <w:ind w:left="0" w:firstLine="0"/>
      <w:outlineLvl w:val="2"/>
    </w:pPr>
    <w:rPr>
      <w:rFonts w:eastAsiaTheme="majorEastAsia" w:cstheme="majorBidi"/>
      <w:i/>
      <w:szCs w:val="28"/>
    </w:rPr>
  </w:style>
  <w:style w:type="paragraph" w:styleId="Titre4">
    <w:name w:val="heading 4"/>
    <w:basedOn w:val="Titre2"/>
    <w:next w:val="Normal"/>
    <w:link w:val="Titre4Car"/>
    <w:uiPriority w:val="9"/>
    <w:unhideWhenUsed/>
    <w:qFormat/>
    <w:pPr>
      <w:numPr>
        <w:numId w:val="0"/>
      </w:numPr>
      <w:outlineLvl w:val="3"/>
    </w:pPr>
  </w:style>
  <w:style w:type="paragraph" w:styleId="Titre5">
    <w:name w:val="heading 5"/>
    <w:basedOn w:val="Normal"/>
    <w:next w:val="Normal"/>
    <w:link w:val="Titre5Car"/>
    <w:uiPriority w:val="9"/>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semiHidden/>
    <w:unhideWhenUsed/>
    <w:qFormat/>
    <w:pPr>
      <w:spacing w:after="200"/>
    </w:pPr>
    <w:rPr>
      <w:b/>
      <w:i/>
      <w:iCs/>
      <w:sz w:val="18"/>
      <w:szCs w:val="18"/>
    </w:rPr>
  </w:style>
  <w:style w:type="character" w:styleId="Accentuation">
    <w:name w:val="Emphasis"/>
    <w:basedOn w:val="Policepardfaut"/>
    <w:uiPriority w:val="20"/>
    <w:qFormat/>
    <w:rPr>
      <w:i/>
      <w:iCs/>
    </w:rPr>
  </w:style>
  <w:style w:type="paragraph" w:styleId="Notedefin">
    <w:name w:val="endnote text"/>
    <w:basedOn w:val="Normal"/>
    <w:link w:val="NotedefinCar"/>
    <w:uiPriority w:val="99"/>
    <w:semiHidden/>
    <w:unhideWhenUsed/>
    <w:qFormat/>
    <w:pPr>
      <w:spacing w:after="240"/>
    </w:pPr>
    <w:rPr>
      <w:szCs w:val="20"/>
    </w:rPr>
  </w:style>
  <w:style w:type="paragraph" w:styleId="Pieddepage">
    <w:name w:val="footer"/>
    <w:basedOn w:val="Normal"/>
    <w:link w:val="PieddepageCar"/>
    <w:uiPriority w:val="99"/>
    <w:unhideWhenUsed/>
    <w:qFormat/>
    <w:pPr>
      <w:tabs>
        <w:tab w:val="center" w:pos="4536"/>
        <w:tab w:val="right" w:pos="9072"/>
      </w:tabs>
      <w:spacing w:after="0"/>
    </w:pPr>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pPr>
      <w:spacing w:after="0"/>
    </w:pPr>
    <w:rPr>
      <w:sz w:val="20"/>
      <w:szCs w:val="20"/>
    </w:rPr>
  </w:style>
  <w:style w:type="paragraph" w:styleId="En-tte">
    <w:name w:val="header"/>
    <w:basedOn w:val="Normal"/>
    <w:link w:val="En-tteCar"/>
    <w:uiPriority w:val="99"/>
    <w:unhideWhenUsed/>
    <w:pPr>
      <w:tabs>
        <w:tab w:val="center" w:pos="4536"/>
        <w:tab w:val="right" w:pos="9072"/>
      </w:tabs>
      <w:spacing w:after="0"/>
    </w:pPr>
  </w:style>
  <w:style w:type="paragraph" w:styleId="NormalWeb">
    <w:name w:val="Normal (Web)"/>
    <w:basedOn w:val="Normal"/>
    <w:uiPriority w:val="99"/>
    <w:semiHidden/>
    <w:unhideWhenUsed/>
    <w:pPr>
      <w:spacing w:before="100" w:beforeAutospacing="1" w:after="100" w:afterAutospacing="1"/>
      <w:jc w:val="left"/>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Pr>
      <w:b/>
      <w:bCs/>
    </w:rPr>
  </w:style>
  <w:style w:type="paragraph" w:styleId="Sous-titre">
    <w:name w:val="Subtitle"/>
    <w:basedOn w:val="Normal"/>
    <w:next w:val="Normal"/>
    <w:link w:val="Sous-titreCar"/>
    <w:uiPriority w:val="11"/>
    <w:qFormat/>
    <w:rPr>
      <w:rFonts w:asciiTheme="minorHAnsi" w:eastAsiaTheme="majorEastAsia" w:hAnsiTheme="minorHAnsi" w:cstheme="majorBidi"/>
      <w:color w:val="595959" w:themeColor="text1" w:themeTint="A6"/>
      <w:spacing w:val="15"/>
      <w:sz w:val="28"/>
      <w:szCs w:val="28"/>
    </w:rPr>
  </w:style>
  <w:style w:type="paragraph" w:styleId="Titre">
    <w:name w:val="Title"/>
    <w:basedOn w:val="Titre1"/>
    <w:next w:val="Normal"/>
    <w:link w:val="TitreCar"/>
    <w:uiPriority w:val="10"/>
    <w:qFormat/>
    <w:pPr>
      <w:numPr>
        <w:numId w:val="0"/>
      </w:numPr>
    </w:pPr>
    <w:rPr>
      <w:sz w:val="32"/>
    </w:rPr>
  </w:style>
  <w:style w:type="character" w:customStyle="1" w:styleId="Titre1Car">
    <w:name w:val="Titre 1 Car"/>
    <w:basedOn w:val="Policepardfaut"/>
    <w:link w:val="Titre1"/>
    <w:uiPriority w:val="9"/>
    <w:rPr>
      <w:rFonts w:ascii="Garamond" w:hAnsi="Garamond"/>
      <w:b/>
      <w:sz w:val="24"/>
      <w:szCs w:val="24"/>
      <w:u w:val="single"/>
    </w:rPr>
  </w:style>
  <w:style w:type="character" w:customStyle="1" w:styleId="TitreCar">
    <w:name w:val="Titre Car"/>
    <w:basedOn w:val="Policepardfaut"/>
    <w:link w:val="Titre"/>
    <w:uiPriority w:val="10"/>
    <w:rPr>
      <w:rFonts w:ascii="Garamond" w:hAnsi="Garamond"/>
      <w:b/>
      <w:sz w:val="32"/>
      <w:szCs w:val="24"/>
      <w:u w:val="single"/>
    </w:rPr>
  </w:style>
  <w:style w:type="character" w:customStyle="1" w:styleId="Titre3Car">
    <w:name w:val="Titre 3 Car"/>
    <w:basedOn w:val="Policepardfaut"/>
    <w:link w:val="Titre3"/>
    <w:uiPriority w:val="9"/>
    <w:rPr>
      <w:rFonts w:ascii="Garamond" w:eastAsiaTheme="majorEastAsia" w:hAnsi="Garamond" w:cstheme="majorBidi"/>
      <w:i/>
      <w:sz w:val="24"/>
      <w:szCs w:val="28"/>
    </w:rPr>
  </w:style>
  <w:style w:type="character" w:customStyle="1" w:styleId="Titre2Car">
    <w:name w:val="Titre 2 Car"/>
    <w:basedOn w:val="Policepardfaut"/>
    <w:link w:val="Titre2"/>
    <w:uiPriority w:val="9"/>
    <w:rPr>
      <w:rFonts w:ascii="Garamond" w:eastAsiaTheme="majorEastAsia" w:hAnsi="Garamond" w:cstheme="majorBidi"/>
      <w:i/>
      <w:sz w:val="24"/>
      <w:szCs w:val="28"/>
    </w:rPr>
  </w:style>
  <w:style w:type="character" w:customStyle="1" w:styleId="Titre4Car">
    <w:name w:val="Titre 4 Car"/>
    <w:basedOn w:val="Policepardfaut"/>
    <w:link w:val="Titre4"/>
    <w:uiPriority w:val="9"/>
    <w:rPr>
      <w:rFonts w:ascii="Garamond" w:eastAsiaTheme="majorEastAsia" w:hAnsi="Garamond" w:cstheme="majorBidi"/>
      <w:i/>
      <w:sz w:val="24"/>
      <w:szCs w:val="28"/>
    </w:rPr>
  </w:style>
  <w:style w:type="character" w:customStyle="1" w:styleId="NotedefinCar">
    <w:name w:val="Note de fin Car"/>
    <w:basedOn w:val="Policepardfaut"/>
    <w:link w:val="Notedefin"/>
    <w:uiPriority w:val="99"/>
    <w:semiHidden/>
    <w:qFormat/>
    <w:rPr>
      <w:rFonts w:ascii="Garamond" w:hAnsi="Garamond"/>
      <w:sz w:val="24"/>
      <w:szCs w:val="20"/>
    </w:rPr>
  </w:style>
  <w:style w:type="character" w:customStyle="1" w:styleId="Titre5Car">
    <w:name w:val="Titre 5 Car"/>
    <w:basedOn w:val="Policepardfaut"/>
    <w:link w:val="Titre5"/>
    <w:uiPriority w:val="9"/>
    <w:qFormat/>
    <w:rPr>
      <w:rFonts w:eastAsiaTheme="majorEastAsia" w:cstheme="majorBidi"/>
      <w:color w:val="0F4761" w:themeColor="accent1" w:themeShade="BF"/>
      <w:sz w:val="24"/>
      <w:szCs w:val="24"/>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sz w:val="24"/>
      <w:szCs w:val="24"/>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sz w:val="24"/>
      <w:szCs w:val="24"/>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sz w:val="24"/>
      <w:szCs w:val="24"/>
    </w:rPr>
  </w:style>
  <w:style w:type="character" w:customStyle="1" w:styleId="Titre9Car">
    <w:name w:val="Titre 9 Car"/>
    <w:basedOn w:val="Policepardfaut"/>
    <w:link w:val="Titre9"/>
    <w:uiPriority w:val="9"/>
    <w:semiHidden/>
    <w:rPr>
      <w:rFonts w:eastAsiaTheme="majorEastAsia" w:cstheme="majorBidi"/>
      <w:color w:val="262626" w:themeColor="text1" w:themeTint="D9"/>
      <w:sz w:val="24"/>
      <w:szCs w:val="24"/>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rFonts w:ascii="Garamond" w:hAnsi="Garamond"/>
      <w:i/>
      <w:iCs/>
      <w:color w:val="404040" w:themeColor="text1" w:themeTint="BF"/>
      <w:sz w:val="24"/>
      <w:szCs w:val="24"/>
    </w:rPr>
  </w:style>
  <w:style w:type="paragraph" w:styleId="Paragraphedeliste">
    <w:name w:val="List Paragraph"/>
    <w:basedOn w:val="Normal"/>
    <w:uiPriority w:val="34"/>
    <w:qFormat/>
    <w:pPr>
      <w:ind w:left="720"/>
      <w:contextualSpacing/>
    </w:pPr>
  </w:style>
  <w:style w:type="character" w:customStyle="1" w:styleId="Emphaseintense1">
    <w:name w:val="Emphase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rFonts w:ascii="Garamond" w:hAnsi="Garamond"/>
      <w:i/>
      <w:iCs/>
      <w:color w:val="0F4761" w:themeColor="accent1" w:themeShade="BF"/>
      <w:sz w:val="24"/>
      <w:szCs w:val="24"/>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NotedebasdepageCar">
    <w:name w:val="Note de bas de page Car"/>
    <w:basedOn w:val="Policepardfaut"/>
    <w:link w:val="Notedebasdepage"/>
    <w:uiPriority w:val="99"/>
    <w:semiHidden/>
    <w:rPr>
      <w:rFonts w:ascii="Garamond" w:hAnsi="Garamond"/>
      <w:sz w:val="20"/>
      <w:szCs w:val="20"/>
    </w:rPr>
  </w:style>
  <w:style w:type="character" w:customStyle="1" w:styleId="En-tteCar">
    <w:name w:val="En-tête Car"/>
    <w:basedOn w:val="Policepardfaut"/>
    <w:link w:val="En-tte"/>
    <w:uiPriority w:val="99"/>
    <w:rPr>
      <w:rFonts w:ascii="Garamond" w:hAnsi="Garamond"/>
      <w:sz w:val="24"/>
      <w:szCs w:val="24"/>
    </w:rPr>
  </w:style>
  <w:style w:type="character" w:customStyle="1" w:styleId="PieddepageCar">
    <w:name w:val="Pied de page Car"/>
    <w:basedOn w:val="Policepardfaut"/>
    <w:link w:val="Pieddepage"/>
    <w:uiPriority w:val="99"/>
    <w:rPr>
      <w:rFonts w:ascii="Garamond" w:hAnsi="Garamond"/>
      <w:sz w:val="24"/>
      <w:szCs w:val="24"/>
    </w:rPr>
  </w:style>
  <w:style w:type="character" w:customStyle="1" w:styleId="Titredulivre1">
    <w:name w:val="Titre du livre1"/>
    <w:basedOn w:val="Policepardfaut"/>
    <w:uiPriority w:val="33"/>
    <w:qFormat/>
    <w:rPr>
      <w:b/>
      <w:bCs/>
      <w:i/>
      <w:iCs/>
      <w:spacing w:val="5"/>
    </w:rPr>
  </w:style>
  <w:style w:type="character" w:customStyle="1" w:styleId="Emphaseple1">
    <w:name w:val="Emphase pâle1"/>
    <w:basedOn w:val="Policepardfaut"/>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proneos-my.sharepoint.com/personal/t_sarcey_proneos_fr/Documents/Bureau/Acier/Eurostat%20fer%20et%20acier%20Fra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defRPr>
            </a:pPr>
            <a:r>
              <a:rPr lang="fr-FR" b="1">
                <a:latin typeface="Calibri" panose="020F0502020204030204" pitchFamily="2" charset="0"/>
                <a:ea typeface="Calibri" panose="020F0502020204030204" pitchFamily="2" charset="0"/>
                <a:cs typeface="Calibri" panose="020F0502020204030204" pitchFamily="2" charset="0"/>
              </a:rPr>
              <a:t>Production et consommation d'acier brut de l'UE (Mt) </a:t>
            </a:r>
          </a:p>
        </c:rich>
      </c:tx>
      <c:layout>
        <c:manualLayout>
          <c:xMode val="edge"/>
          <c:yMode val="edge"/>
          <c:x val="0.121715223097113"/>
          <c:y val="0"/>
        </c:manualLayout>
      </c:layout>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defRPr>
          </a:pPr>
          <a:endParaRPr lang="fr-FR"/>
        </a:p>
      </c:txPr>
    </c:title>
    <c:autoTitleDeleted val="0"/>
    <c:plotArea>
      <c:layout>
        <c:manualLayout>
          <c:layoutTarget val="inner"/>
          <c:xMode val="edge"/>
          <c:yMode val="edge"/>
          <c:x val="8.9080486783519805E-2"/>
          <c:y val="0.19576991445395001"/>
          <c:w val="0.88107240221172001"/>
          <c:h val="0.598582979084195"/>
        </c:manualLayout>
      </c:layout>
      <c:lineChart>
        <c:grouping val="standard"/>
        <c:varyColors val="0"/>
        <c:ser>
          <c:idx val="0"/>
          <c:order val="0"/>
          <c:tx>
            <c:strRef>
              <c:f>Worldsteel!$B$21</c:f>
              <c:strCache>
                <c:ptCount val="1"/>
                <c:pt idx="0">
                  <c:v>Production</c:v>
                </c:pt>
              </c:strCache>
            </c:strRef>
          </c:tx>
          <c:spPr>
            <a:ln w="28575" cap="rnd">
              <a:solidFill>
                <a:schemeClr val="accent1"/>
              </a:solidFill>
              <a:round/>
            </a:ln>
            <a:effectLst/>
          </c:spPr>
          <c:marker>
            <c:symbol val="none"/>
          </c:marker>
          <c:cat>
            <c:numRef>
              <c:f>Worldsteel!$A$22:$A$36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Worldsteel!$B$22:$B$36</c:f>
              <c:numCache>
                <c:formatCode>0.0</c:formatCode>
                <c:ptCount val="15"/>
                <c:pt idx="0">
                  <c:v>163.076525</c:v>
                </c:pt>
                <c:pt idx="1">
                  <c:v>168.09782100000001</c:v>
                </c:pt>
                <c:pt idx="2">
                  <c:v>159.003433</c:v>
                </c:pt>
                <c:pt idx="3">
                  <c:v>154.31767400000001</c:v>
                </c:pt>
                <c:pt idx="4">
                  <c:v>157.06495699999999</c:v>
                </c:pt>
                <c:pt idx="5">
                  <c:v>155.12873200000001</c:v>
                </c:pt>
                <c:pt idx="6">
                  <c:v>154.297811</c:v>
                </c:pt>
                <c:pt idx="7">
                  <c:v>160.86903000000001</c:v>
                </c:pt>
                <c:pt idx="8">
                  <c:v>160.06575599999999</c:v>
                </c:pt>
                <c:pt idx="9">
                  <c:v>150.24444500000001</c:v>
                </c:pt>
                <c:pt idx="10">
                  <c:v>132.21725799999999</c:v>
                </c:pt>
                <c:pt idx="11">
                  <c:v>152.782083</c:v>
                </c:pt>
                <c:pt idx="12">
                  <c:v>136.33220900000001</c:v>
                </c:pt>
                <c:pt idx="13">
                  <c:v>126.185382</c:v>
                </c:pt>
                <c:pt idx="14">
                  <c:v>129.5</c:v>
                </c:pt>
              </c:numCache>
            </c:numRef>
          </c:val>
          <c:smooth val="0"/>
          <c:extLst>
            <c:ext xmlns:c16="http://schemas.microsoft.com/office/drawing/2014/chart" uri="{C3380CC4-5D6E-409C-BE32-E72D297353CC}">
              <c16:uniqueId val="{00000000-3A16-4FC9-B657-ABA06A7ACECF}"/>
            </c:ext>
          </c:extLst>
        </c:ser>
        <c:ser>
          <c:idx val="1"/>
          <c:order val="1"/>
          <c:tx>
            <c:strRef>
              <c:f>Worldsteel!$C$21</c:f>
              <c:strCache>
                <c:ptCount val="1"/>
                <c:pt idx="0">
                  <c:v>Consommation</c:v>
                </c:pt>
              </c:strCache>
            </c:strRef>
          </c:tx>
          <c:spPr>
            <a:ln w="28575" cap="rnd">
              <a:solidFill>
                <a:srgbClr val="FF0000"/>
              </a:solidFill>
              <a:round/>
            </a:ln>
            <a:effectLst/>
          </c:spPr>
          <c:marker>
            <c:symbol val="none"/>
          </c:marker>
          <c:cat>
            <c:numRef>
              <c:f>Worldsteel!$A$22:$A$36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Worldsteel!$C$22:$C$36</c:f>
              <c:numCache>
                <c:formatCode>#\ ##0.0</c:formatCode>
                <c:ptCount val="15"/>
                <c:pt idx="0">
                  <c:v>135.80000000000001</c:v>
                </c:pt>
                <c:pt idx="1">
                  <c:v>145.30000000000001</c:v>
                </c:pt>
                <c:pt idx="2">
                  <c:v>131.1</c:v>
                </c:pt>
                <c:pt idx="3">
                  <c:v>132.80000000000001</c:v>
                </c:pt>
                <c:pt idx="4">
                  <c:v>138.30000000000001</c:v>
                </c:pt>
                <c:pt idx="5">
                  <c:v>144</c:v>
                </c:pt>
                <c:pt idx="6">
                  <c:v>147</c:v>
                </c:pt>
                <c:pt idx="7">
                  <c:v>151.80000000000001</c:v>
                </c:pt>
                <c:pt idx="8">
                  <c:v>158.9</c:v>
                </c:pt>
                <c:pt idx="9">
                  <c:v>147.80000000000001</c:v>
                </c:pt>
                <c:pt idx="10">
                  <c:v>130.9</c:v>
                </c:pt>
                <c:pt idx="11">
                  <c:v>154.1</c:v>
                </c:pt>
                <c:pt idx="12">
                  <c:v>142.6</c:v>
                </c:pt>
                <c:pt idx="13">
                  <c:v>127.6</c:v>
                </c:pt>
              </c:numCache>
            </c:numRef>
          </c:val>
          <c:smooth val="0"/>
          <c:extLst>
            <c:ext xmlns:c16="http://schemas.microsoft.com/office/drawing/2014/chart" uri="{C3380CC4-5D6E-409C-BE32-E72D297353CC}">
              <c16:uniqueId val="{00000001-3A16-4FC9-B657-ABA06A7ACECF}"/>
            </c:ext>
          </c:extLst>
        </c:ser>
        <c:dLbls>
          <c:showLegendKey val="0"/>
          <c:showVal val="0"/>
          <c:showCatName val="0"/>
          <c:showSerName val="0"/>
          <c:showPercent val="0"/>
          <c:showBubbleSize val="0"/>
        </c:dLbls>
        <c:smooth val="0"/>
        <c:axId val="1315273871"/>
        <c:axId val="1315272431"/>
      </c:lineChart>
      <c:catAx>
        <c:axId val="131527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315272431"/>
        <c:crosses val="autoZero"/>
        <c:auto val="1"/>
        <c:lblAlgn val="ctr"/>
        <c:lblOffset val="100"/>
        <c:noMultiLvlLbl val="0"/>
      </c:catAx>
      <c:valAx>
        <c:axId val="13152724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1315273871"/>
        <c:crosses val="autoZero"/>
        <c:crossBetween val="between"/>
      </c:valAx>
      <c:spPr>
        <a:solidFill>
          <a:schemeClr val="bg1">
            <a:lumMod val="95000"/>
          </a:schemeClr>
        </a:solid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uri="{0b15fc19-7d7d-44ad-8c2d-2c3a37ce22c3}">
        <chartProps xmlns="https://web.wps.cn/et/2018/main" chartId="{82b40d0c-6a6b-4a95-a627-96be24b71f6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fr-FR"/>
              <a:t>Consommation d'acier en France en 2050</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1-340F-4F82-8AB1-017870CFFF58}"/>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340F-4F82-8AB1-017870CFFF58}"/>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5-340F-4F82-8AB1-017870CFFF58}"/>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7-340F-4F82-8AB1-017870CFFF58}"/>
              </c:ext>
            </c:extLst>
          </c:dPt>
          <c:dPt>
            <c:idx val="4"/>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9-340F-4F82-8AB1-017870CFFF58}"/>
              </c:ext>
            </c:extLst>
          </c:dPt>
          <c:dPt>
            <c:idx val="5"/>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B-340F-4F82-8AB1-017870CFFF58}"/>
              </c:ext>
            </c:extLst>
          </c:dPt>
          <c:dPt>
            <c:idx val="6"/>
            <c:invertIfNegative val="0"/>
            <c:bubble3D val="0"/>
            <c:spPr>
              <a:solidFill>
                <a:srgbClr val="FFFF00"/>
              </a:solidFill>
              <a:ln>
                <a:noFill/>
              </a:ln>
              <a:effectLst/>
            </c:spPr>
            <c:extLst>
              <c:ext xmlns:c16="http://schemas.microsoft.com/office/drawing/2014/chart" uri="{C3380CC4-5D6E-409C-BE32-E72D297353CC}">
                <c16:uniqueId val="{0000000D-340F-4F82-8AB1-017870CFFF58}"/>
              </c:ext>
            </c:extLst>
          </c:dPt>
          <c:dPt>
            <c:idx val="7"/>
            <c:invertIfNegative val="0"/>
            <c:bubble3D val="0"/>
            <c:spPr>
              <a:solidFill>
                <a:srgbClr val="FFFF00"/>
              </a:solidFill>
              <a:ln>
                <a:noFill/>
              </a:ln>
              <a:effectLst/>
            </c:spPr>
            <c:extLst>
              <c:ext xmlns:c16="http://schemas.microsoft.com/office/drawing/2014/chart" uri="{C3380CC4-5D6E-409C-BE32-E72D297353CC}">
                <c16:uniqueId val="{0000000F-340F-4F82-8AB1-017870CFFF58}"/>
              </c:ext>
            </c:extLst>
          </c:dPt>
          <c:dPt>
            <c:idx val="8"/>
            <c:invertIfNegative val="0"/>
            <c:bubble3D val="0"/>
            <c:spPr>
              <a:solidFill>
                <a:srgbClr val="FF0000"/>
              </a:solidFill>
              <a:ln>
                <a:noFill/>
              </a:ln>
              <a:effectLst/>
            </c:spPr>
            <c:extLst>
              <c:ext xmlns:c16="http://schemas.microsoft.com/office/drawing/2014/chart" uri="{C3380CC4-5D6E-409C-BE32-E72D297353CC}">
                <c16:uniqueId val="{00000011-340F-4F82-8AB1-017870CFFF58}"/>
              </c:ext>
            </c:extLst>
          </c:dPt>
          <c:cat>
            <c:strRef>
              <c:f>Feuil1!$A$1:$I$1</c:f>
              <c:strCache>
                <c:ptCount val="9"/>
                <c:pt idx="0">
                  <c:v>2018</c:v>
                </c:pt>
                <c:pt idx="1">
                  <c:v>2024</c:v>
                </c:pt>
                <c:pt idx="2">
                  <c:v>Ademe S1</c:v>
                </c:pt>
                <c:pt idx="3">
                  <c:v>Ademe S2</c:v>
                </c:pt>
                <c:pt idx="4">
                  <c:v>Ademe S3</c:v>
                </c:pt>
                <c:pt idx="5">
                  <c:v>Ademe S4</c:v>
                </c:pt>
                <c:pt idx="6">
                  <c:v>Shift Project</c:v>
                </c:pt>
                <c:pt idx="7">
                  <c:v>NégaWatt</c:v>
                </c:pt>
                <c:pt idx="8">
                  <c:v>Plan climat PCF V1</c:v>
                </c:pt>
              </c:strCache>
            </c:strRef>
          </c:cat>
          <c:val>
            <c:numRef>
              <c:f>Feuil1!$A$2:$I$2</c:f>
              <c:numCache>
                <c:formatCode>General</c:formatCode>
                <c:ptCount val="9"/>
                <c:pt idx="0">
                  <c:v>15</c:v>
                </c:pt>
                <c:pt idx="1">
                  <c:v>9.8000000000000007</c:v>
                </c:pt>
                <c:pt idx="2">
                  <c:v>6.9</c:v>
                </c:pt>
                <c:pt idx="3">
                  <c:v>8.5</c:v>
                </c:pt>
                <c:pt idx="4">
                  <c:v>13.2</c:v>
                </c:pt>
                <c:pt idx="5">
                  <c:v>15</c:v>
                </c:pt>
                <c:pt idx="6">
                  <c:v>12</c:v>
                </c:pt>
                <c:pt idx="7">
                  <c:v>11.7</c:v>
                </c:pt>
                <c:pt idx="8">
                  <c:v>17.399999999999999</c:v>
                </c:pt>
              </c:numCache>
            </c:numRef>
          </c:val>
          <c:extLst>
            <c:ext xmlns:c16="http://schemas.microsoft.com/office/drawing/2014/chart" uri="{C3380CC4-5D6E-409C-BE32-E72D297353CC}">
              <c16:uniqueId val="{00000012-340F-4F82-8AB1-017870CFFF58}"/>
            </c:ext>
          </c:extLst>
        </c:ser>
        <c:dLbls>
          <c:showLegendKey val="0"/>
          <c:showVal val="0"/>
          <c:showCatName val="0"/>
          <c:showSerName val="0"/>
          <c:showPercent val="0"/>
          <c:showBubbleSize val="0"/>
        </c:dLbls>
        <c:gapWidth val="219"/>
        <c:overlap val="-27"/>
        <c:axId val="793522335"/>
        <c:axId val="796594303"/>
      </c:barChart>
      <c:catAx>
        <c:axId val="79352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796594303"/>
        <c:crosses val="autoZero"/>
        <c:auto val="1"/>
        <c:lblAlgn val="ctr"/>
        <c:lblOffset val="100"/>
        <c:noMultiLvlLbl val="0"/>
      </c:catAx>
      <c:valAx>
        <c:axId val="796594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fr-FR"/>
          </a:p>
        </c:txPr>
        <c:crossAx val="793522335"/>
        <c:crosses val="autoZero"/>
        <c:crossBetween val="between"/>
      </c:valAx>
      <c:spPr>
        <a:noFill/>
        <a:ln>
          <a:noFill/>
        </a:ln>
        <a:effectLst/>
      </c:spPr>
    </c:plotArea>
    <c:plotVisOnly val="1"/>
    <c:dispBlanksAs val="gap"/>
    <c:showDLblsOverMax val="0"/>
    <c:extLst>
      <c:ext uri="{0b15fc19-7d7d-44ad-8c2d-2c3a37ce22c3}">
        <chartProps xmlns="https://web.wps.cn/et/2018/main" chartId="{a6c97ed7-a2ef-4e75-93ad-8ab024d0f44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fed57a73-e207-41f8-ac00-ee73461d67c3" xsi:nil="true"/>
    <lcf76f155ced4ddcb4097134ff3c332f xmlns="7b87d152-6035-4e6c-b8e2-3500cc088a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ma="http://schemas.microsoft.com/office/2006/metadata/properties/metaAttributes" xmlns:ct="http://schemas.microsoft.com/office/2006/metadata/contentType" ma:_="" ma:contentTypeScope="" ma:contentTypeVersion="13" ma:versionID="60bdba79f626f72fd4be928791ad6eb5" ma:contentTypeName="Document" ma:contentTypeDescription="Crée un document." ct:_="" ma:contentTypeID="0x010100841DBB073A5681429897D394B4194947">
  <xsd:schema xmlns:p="http://schemas.microsoft.com/office/2006/metadata/properties" xmlns:xs="http://www.w3.org/2001/XMLSchema" xmlns:ns3="fed57a73-e207-41f8-ac00-ee73461d67c3" xmlns:xsd="http://www.w3.org/2001/XMLSchema" xmlns:ns2="7b87d152-6035-4e6c-b8e2-3500cc088a42" ma:root="true" targetNamespace="http://schemas.microsoft.com/office/2006/metadata/properties" ns2:_="" ma:fieldsID="e88410d011f9dc0d8448b0a38a7f8320" ns3:_="">
    <xsd:import namespace="7b87d152-6035-4e6c-b8e2-3500cc088a42"/>
    <xsd:import namespace="fed57a73-e207-41f8-ac00-ee73461d67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dms="http://schemas.microsoft.com/office/2006/documentManagement/types" xmlns:xs="http://www.w3.org/2001/XMLSchema" xmlns:pc="http://schemas.microsoft.com/office/infopath/2007/PartnerControls" xmlns:xsd="http://www.w3.org/2001/XMLSchema" targetNamespace="7b87d152-6035-4e6c-b8e2-3500cc088a42" elementFormDefault="qualified">
    <xsd:import namespace="http://schemas.microsoft.com/office/2006/documentManagement/types"/>
    <xsd:import namespace="http://schemas.microsoft.com/office/infopath/2007/PartnerControls"/>
    <xsd:element ma:internalName="lcf76f155ced4ddcb4097134ff3c332f" name="lcf76f155ced4ddcb4097134ff3c332f" ma:taxonomy="true" ma:displayName="Balises d’images" ma:fieldId="{5cf76f15-5ced-4ddc-b409-7134ff3c332f}" ma:termSetId="09814cd3-568e-fe90-9814-8d621ff8fb84" nillable="true" ma:sspId="f939e814-2b8a-44b7-9987-4374f04ba90f" ma:taxonomyMulti="true" ma:open="true" ma:readOnly="false" ma:isKeyword="false" ma:anchorId="fba54fb3-c3e1-fe81-a776-ca4b69148c4d" ma:index="9" ma:taxonomyFieldName="MediaServiceImageTags">
      <xsd:complexType>
        <xsd:sequence>
          <xsd:element maxOccurs="1" ref="pc:Terms" minOccurs="0"/>
        </xsd:sequence>
      </xsd:complexType>
    </xsd:element>
    <xsd:element ma:internalName="MediaServiceMetadata" name="MediaServiceMetadata" ma:displayName="MediaServiceMetadata" ma:hidden="true" nillable="true" ma:readOnly="true" ma:index="11">
      <xsd:simpleType>
        <xsd:restriction base="dms:Note"/>
      </xsd:simpleType>
    </xsd:element>
    <xsd:element ma:internalName="MediaServiceFastMetadata" name="MediaServiceFastMetadata" ma:displayName="MediaServiceFastMetadata" ma:hidden="true" nillable="true" ma:readOnly="true" ma:index="12">
      <xsd:simpleType>
        <xsd:restriction base="dms:Note"/>
      </xsd:simpleType>
    </xsd:element>
    <xsd:element ma:internalName="MediaServiceObjectDetectorVersions" name="MediaServiceObjectDetectorVersions" ma:displayName="MediaServiceObjectDetectorVersions" ma:hidden="true" nillable="true" ma:readOnly="true" ma:indexed="true" ma:index="13">
      <xsd:simpleType>
        <xsd:restriction base="dms:Text"/>
      </xsd:simpleType>
    </xsd:element>
    <xsd:element ma:internalName="MediaServiceOCR" name="MediaServiceOCR" ma:displayName="Extracted Text" nillable="true" ma:readOnly="true" ma:index="14">
      <xsd:simpleType>
        <xsd:restriction base="dms:Note">
          <xsd:maxLength value="255"/>
        </xsd:restriction>
      </xsd:simpleType>
    </xsd:element>
    <xsd:element ma:internalName="MediaServiceGenerationTime" name="MediaServiceGenerationTime" ma:displayName="MediaServiceGenerationTime" ma:hidden="true" nillable="true" ma:readOnly="true" ma:index="15">
      <xsd:simpleType>
        <xsd:restriction base="dms:Text"/>
      </xsd:simpleType>
    </xsd:element>
    <xsd:element ma:internalName="MediaServiceEventHashCode" name="MediaServiceEventHashCode" ma:displayName="MediaServiceEventHashCode" ma:hidden="true" nillable="true" ma:readOnly="true" ma:index="16">
      <xsd:simpleType>
        <xsd:restriction base="dms:Text"/>
      </xsd:simpleType>
    </xsd:element>
    <xsd:element ma:internalName="MediaServiceSearchProperties" name="MediaServiceSearchProperties" ma:displayName="MediaServiceSearchProperties" ma:hidden="true" nillable="true" ma:readOnly="true" ma:index="17">
      <xsd:simpleType>
        <xsd:restriction base="dms:Note"/>
      </xsd:simpleType>
    </xsd:element>
    <xsd:element ma:internalName="MediaServiceDateTaken" name="MediaServiceDateTaken" ma:displayName="MediaServiceDateTaken" ma:hidden="true" nillable="true" ma:readOnly="true" ma:indexed="true" ma:index="20">
      <xsd:simpleType>
        <xsd:restriction base="dms:Text"/>
      </xsd:simpleType>
    </xsd:element>
  </xsd:schema>
  <xsd:schema xmlns:dms="http://schemas.microsoft.com/office/2006/documentManagement/types" xmlns:xs="http://www.w3.org/2001/XMLSchema" xmlns:pc="http://schemas.microsoft.com/office/infopath/2007/PartnerControls" xmlns:xsd="http://www.w3.org/2001/XMLSchema" targetNamespace="fed57a73-e207-41f8-ac00-ee73461d67c3" elementFormDefault="qualified">
    <xsd:import namespace="http://schemas.microsoft.com/office/2006/documentManagement/types"/>
    <xsd:import namespace="http://schemas.microsoft.com/office/infopath/2007/PartnerControls"/>
    <xsd:element ma:internalName="TaxCatchAll" name="TaxCatchAll" ma:list="{d4e4c5d5-a144-4b93-9af3-70cd6d4e4a1f}" ma:displayName="Taxonomy Catch All Column" ma:hidden="true" ma:web="fed57a73-e207-41f8-ac00-ee73461d67c3" nillable="true" ma:showField="CatchAllData" ma:index="10">
      <xsd:complexType>
        <xsd:complexContent>
          <xsd:extension base="dms:MultiChoiceLookup">
            <xsd:sequence>
              <xsd:element name="Value" maxOccurs="unbounded" nillable="true" type="dms:Lookup" minOccurs="0"/>
            </xsd:sequence>
          </xsd:extension>
        </xsd:complexContent>
      </xsd:complexType>
    </xsd:element>
    <xsd:element ma:internalName="SharedWithUsers" name="SharedWithUsers" ma:displayName="Partagé avec" nillable="true" ma:readOnly="true" ma:index="18">
      <xsd:complexType>
        <xsd:complexContent>
          <xsd:extension base="dms:UserMulti">
            <xsd:sequence>
              <xsd:element name="UserInfo" maxOccurs="unbounded" minOccurs="0">
                <xsd:complexType>
                  <xsd:sequence>
                    <xsd:element name="DisplayName" type="xsd:string" minOccurs="0"/>
                    <xsd:element name="AccountId" nillable="true" type="dms:UserId" minOccurs="0"/>
                    <xsd:element name="AccountType" type="xsd:string" minOccurs="0"/>
                  </xsd:sequence>
                </xsd:complexType>
              </xsd:element>
            </xsd:sequence>
          </xsd:extension>
        </xsd:complexContent>
      </xsd:complexType>
    </xsd:element>
    <xsd:element ma:internalName="SharedWithDetails" name="SharedWithDetails" ma:displayName="Partagé avec détails" nillable="true" ma:readOnly="true" ma:index="19">
      <xsd:simpleType>
        <xsd:restriction base="dms:Note">
          <xsd:maxLength value="255"/>
        </xsd:restriction>
      </xsd:simpleType>
    </xsd:element>
  </xsd:schema>
  <xsd:schema xmlns:dcterms="http://purl.org/dc/terms/" xmlns:xsd="http://www.w3.org/2001/XMLSchema" xmlns:xsi="http://www.w3.org/2001/XMLSchema-instance" xmlns="http://schemas.openxmlformats.org/package/2006/metadata/core-properties" xmlns:dc="http://purl.org/dc/elements/1.1/" xmlns:odoc="http://schemas.microsoft.com/internal/obd" targetNamespace="http://schemas.openxmlformats.org/package/2006/metadata/core-properties" attributeFormDefault="unqualified" elementFormDefault="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ref="dc:creator" minOccurs="0"/>
        <xsd:element maxOccurs="1" ref="dcterms:created" minOccurs="0"/>
        <xsd:element maxOccurs="1" ref="dc:identifier" minOccurs="0"/>
        <xsd:element name="contentType" maxOccurs="1" ma:displayName="Type de contenu" type="xsd:string" minOccurs="0" ma:index="0"/>
        <xsd:element maxOccurs="1" ma:displayName="Titre" ref="dc:title" minOccurs="0" ma:index="4"/>
        <xsd:element maxOccurs="1" ref="dc:subject" minOccurs="0"/>
        <xsd:element maxOccurs="1" ref="dc:description" minOccurs="0"/>
        <xsd:element name="keywords" maxOccurs="1" type="xsd:string" minOccurs="0"/>
        <xsd:element maxOccurs="1" ref="dc:language" minOccurs="0"/>
        <xsd:element name="category" maxOccurs="1" type="xsd:string" minOccurs="0"/>
        <xsd:element name="version" maxOccurs="1" type="xsd:string" minOccurs="0"/>
        <xsd:element name="revision" maxOccurs="1" type="xsd:string" minOccurs="0">
          <xsd:annotation>
            <xsd:documentation>
                        This value indicates the number of saves or revisions. The application is responsible for updating this value after each revision.
                    </xsd:documentation>
          </xsd:annotation>
        </xsd:element>
        <xsd:element name="lastModifiedBy" maxOccurs="1" type="xsd:string" minOccurs="0"/>
        <xsd:element maxOccurs="1" ref="dcterms:modified" minOccurs="0"/>
        <xsd:element name="contentStatus" maxOccurs="1" type="xsd:string" minOccurs="0"/>
      </xsd:all>
    </xsd:complexType>
  </xsd:schema>
  <xs:schema xmlns:xs="http://www.w3.org/2001/XMLSchema" xmlns:pc="http://schemas.microsoft.com/office/infopath/2007/PartnerControls" targetNamespace="http://schemas.microsoft.com/office/infopath/2007/PartnerControls" attributeFormDefault="unqualified" elementFormDefault="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A6DC4-1A9D-4EBF-A26E-B5347A3B2DCE}">
  <ds:schemaRefs>
    <ds:schemaRef ds:uri="http://schemas.microsoft.com/office/2006/metadata/properties"/>
    <ds:schemaRef ds:uri="http://schemas.microsoft.com/office/infopath/2007/PartnerControls"/>
    <ds:schemaRef ds:uri="fed57a73-e207-41f8-ac00-ee73461d67c3"/>
    <ds:schemaRef ds:uri="7b87d152-6035-4e6c-b8e2-3500cc088a42"/>
  </ds:schemaRefs>
</ds:datastoreItem>
</file>

<file path=customXml/itemProps2.xml><?xml version="1.0" encoding="utf-8"?>
<ds:datastoreItem xmlns:ds="http://schemas.openxmlformats.org/officeDocument/2006/customXml" ds:itemID="{BF48232B-E15D-41A3-959A-727F21D54C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5A5077-8549-4285-8BB6-6479486A507A}">
  <ds:schemaRefs>
    <ds:schemaRef ds:uri="http://schemas.microsoft.com/office/2006/metadata/properties/metaAttributes"/>
    <ds:schemaRef ds:uri="http://schemas.microsoft.com/office/2006/metadata/contentType"/>
    <ds:schemaRef ds:uri="http://schemas.microsoft.com/office/2006/metadata/properties"/>
    <ds:schemaRef ds:uri="http://www.w3.org/2001/XMLSchema"/>
    <ds:schemaRef ds:uri="fed57a73-e207-41f8-ac00-ee73461d67c3"/>
    <ds:schemaRef ds:uri="7b87d152-6035-4e6c-b8e2-3500cc088a42"/>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1802</Words>
  <Characters>9913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GUILLAS</dc:creator>
  <cp:lastModifiedBy>Jaime</cp:lastModifiedBy>
  <cp:revision>15</cp:revision>
  <cp:lastPrinted>2025-06-30T16:59:00Z</cp:lastPrinted>
  <dcterms:created xsi:type="dcterms:W3CDTF">2025-06-18T16:42:00Z</dcterms:created>
  <dcterms:modified xsi:type="dcterms:W3CDTF">2025-07-01T07:30:00Z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0x010100841DBB073A5681429897D394B4194947</vt:lpwstr>
  </property>
  <property fmtid="{D5CDD505-2E9C-101B-9397-08002B2CF9AE}" pid="3" name="MediaServiceImageTags">
    <vt:lpwstr/>
  </property>
  <property fmtid="{D5CDD505-2E9C-101B-9397-08002B2CF9AE}" pid="4" name="KSOProductBuildVer">
    <vt:lpwstr>1033-6.11.0.8608</vt:lpwstr>
  </property>
  <property fmtid="{D5CDD505-2E9C-101B-9397-08002B2CF9AE}" pid="5" name="ICV">
    <vt:lpwstr>AE246338442AE11D7A4C6168BBE36AE7_42</vt:lpwstr>
  </property>
</Properties>
</file>