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701DD" w14:textId="7D753359" w:rsidR="007C62AB" w:rsidRPr="005732C0" w:rsidRDefault="00CB139C" w:rsidP="005732C0">
      <w:pPr>
        <w:spacing w:after="0" w:line="360" w:lineRule="auto"/>
        <w:rPr>
          <w:rFonts w:ascii="Times New Roman" w:hAnsi="Times New Roman" w:cs="Times New Roman"/>
          <w:b/>
          <w:bCs/>
          <w:sz w:val="28"/>
          <w:szCs w:val="28"/>
        </w:rPr>
      </w:pPr>
      <w:r w:rsidRPr="005732C0">
        <w:rPr>
          <w:rFonts w:ascii="Times New Roman" w:hAnsi="Times New Roman" w:cs="Times New Roman"/>
          <w:b/>
          <w:bCs/>
          <w:sz w:val="28"/>
          <w:szCs w:val="28"/>
        </w:rPr>
        <w:t>F</w:t>
      </w:r>
      <w:r w:rsidR="007C62AB" w:rsidRPr="005732C0">
        <w:rPr>
          <w:rFonts w:ascii="Times New Roman" w:hAnsi="Times New Roman" w:cs="Times New Roman"/>
          <w:b/>
          <w:bCs/>
          <w:sz w:val="28"/>
          <w:szCs w:val="28"/>
        </w:rPr>
        <w:t>ace au défi climatique</w:t>
      </w:r>
      <w:r w:rsidR="00D75FEE">
        <w:rPr>
          <w:rFonts w:ascii="Times New Roman" w:hAnsi="Times New Roman" w:cs="Times New Roman"/>
          <w:b/>
          <w:bCs/>
          <w:sz w:val="28"/>
          <w:szCs w:val="28"/>
        </w:rPr>
        <w:t>,</w:t>
      </w:r>
      <w:r w:rsidR="005732C0">
        <w:rPr>
          <w:rFonts w:ascii="Times New Roman" w:hAnsi="Times New Roman" w:cs="Times New Roman"/>
          <w:b/>
          <w:bCs/>
          <w:sz w:val="28"/>
          <w:szCs w:val="28"/>
        </w:rPr>
        <w:t xml:space="preserve"> le nucléaire durable </w:t>
      </w:r>
      <w:r w:rsidRPr="005732C0">
        <w:rPr>
          <w:rFonts w:ascii="Times New Roman" w:hAnsi="Times New Roman" w:cs="Times New Roman"/>
          <w:b/>
          <w:bCs/>
          <w:sz w:val="28"/>
          <w:szCs w:val="28"/>
        </w:rPr>
        <w:t xml:space="preserve">est </w:t>
      </w:r>
      <w:r w:rsidR="00FD5AC9" w:rsidRPr="005732C0">
        <w:rPr>
          <w:rFonts w:ascii="Times New Roman" w:hAnsi="Times New Roman" w:cs="Times New Roman"/>
          <w:b/>
          <w:bCs/>
          <w:sz w:val="28"/>
          <w:szCs w:val="28"/>
        </w:rPr>
        <w:t>incontournable</w:t>
      </w:r>
    </w:p>
    <w:p w14:paraId="0FFC0BD1" w14:textId="77777777" w:rsidR="008936BA" w:rsidRDefault="008936BA" w:rsidP="007C62AB">
      <w:pPr>
        <w:spacing w:after="0" w:line="360" w:lineRule="auto"/>
        <w:jc w:val="center"/>
        <w:rPr>
          <w:b/>
          <w:bCs/>
        </w:rPr>
      </w:pPr>
    </w:p>
    <w:p w14:paraId="2B159D4C" w14:textId="49D4342C" w:rsidR="00FF7FDF" w:rsidRPr="005732C0" w:rsidRDefault="00FF7FDF" w:rsidP="00FF7FDF">
      <w:pPr>
        <w:spacing w:after="0" w:line="360" w:lineRule="auto"/>
        <w:jc w:val="both"/>
        <w:rPr>
          <w:rFonts w:ascii="Times New Roman" w:hAnsi="Times New Roman" w:cs="Times New Roman"/>
          <w:sz w:val="24"/>
          <w:szCs w:val="24"/>
        </w:rPr>
      </w:pPr>
      <w:r w:rsidRPr="005732C0">
        <w:rPr>
          <w:rFonts w:ascii="Times New Roman" w:hAnsi="Times New Roman" w:cs="Times New Roman"/>
          <w:sz w:val="24"/>
          <w:szCs w:val="24"/>
        </w:rPr>
        <w:t>Qu’est-ce que le nucléaire durable ? Alors que pour lutter contre le réchauffement climatique nous devons abandonner définitivement les énergies fossiles, qui représentent encore plus de 80</w:t>
      </w:r>
      <w:r w:rsidR="005732C0">
        <w:rPr>
          <w:rFonts w:ascii="Times New Roman" w:hAnsi="Times New Roman" w:cs="Times New Roman"/>
          <w:sz w:val="24"/>
          <w:szCs w:val="24"/>
        </w:rPr>
        <w:t> %</w:t>
      </w:r>
      <w:r w:rsidRPr="005732C0">
        <w:rPr>
          <w:rFonts w:ascii="Times New Roman" w:hAnsi="Times New Roman" w:cs="Times New Roman"/>
          <w:sz w:val="24"/>
          <w:szCs w:val="24"/>
        </w:rPr>
        <w:t xml:space="preserve"> de la consommation mondiale d’énergie, en quoi le nucléaire durab</w:t>
      </w:r>
      <w:r w:rsidR="00562FA3">
        <w:rPr>
          <w:rFonts w:ascii="Times New Roman" w:hAnsi="Times New Roman" w:cs="Times New Roman"/>
          <w:sz w:val="24"/>
          <w:szCs w:val="24"/>
        </w:rPr>
        <w:t>le est-il irremplaçable ?</w:t>
      </w:r>
    </w:p>
    <w:p w14:paraId="595E5599" w14:textId="77777777" w:rsidR="005732C0" w:rsidRPr="005732C0" w:rsidRDefault="005732C0" w:rsidP="005732C0">
      <w:pPr>
        <w:spacing w:after="0" w:line="360" w:lineRule="auto"/>
        <w:rPr>
          <w:rFonts w:ascii="Times New Roman" w:hAnsi="Times New Roman" w:cs="Times New Roman"/>
          <w:sz w:val="24"/>
          <w:szCs w:val="24"/>
        </w:rPr>
      </w:pPr>
      <w:r w:rsidRPr="005732C0">
        <w:rPr>
          <w:rFonts w:ascii="Times New Roman" w:hAnsi="Times New Roman" w:cs="Times New Roman"/>
          <w:smallCaps/>
          <w:sz w:val="24"/>
          <w:szCs w:val="24"/>
        </w:rPr>
        <w:t>Par Claire Kerboul</w:t>
      </w:r>
      <w:r w:rsidRPr="005732C0">
        <w:rPr>
          <w:rFonts w:ascii="Times New Roman" w:hAnsi="Times New Roman" w:cs="Times New Roman"/>
          <w:sz w:val="24"/>
          <w:szCs w:val="24"/>
        </w:rPr>
        <w:t>*</w:t>
      </w:r>
    </w:p>
    <w:p w14:paraId="1C0AE420" w14:textId="77777777" w:rsidR="005732C0" w:rsidRDefault="005732C0" w:rsidP="00394886">
      <w:pPr>
        <w:spacing w:after="0" w:line="360" w:lineRule="auto"/>
        <w:jc w:val="both"/>
      </w:pPr>
    </w:p>
    <w:p w14:paraId="58069178" w14:textId="1EC8AE36" w:rsidR="00BB5010" w:rsidRPr="00562FA3" w:rsidRDefault="00B86F7E" w:rsidP="00394886">
      <w:pPr>
        <w:spacing w:after="0" w:line="360" w:lineRule="auto"/>
        <w:jc w:val="both"/>
        <w:rPr>
          <w:rFonts w:ascii="Times New Roman" w:hAnsi="Times New Roman" w:cs="Times New Roman"/>
        </w:rPr>
      </w:pPr>
      <w:r w:rsidRPr="00562FA3">
        <w:rPr>
          <w:rFonts w:ascii="Times New Roman" w:hAnsi="Times New Roman" w:cs="Times New Roman"/>
        </w:rPr>
        <w:t>En 2022,</w:t>
      </w:r>
      <w:r w:rsidR="009958F6" w:rsidRPr="00562FA3">
        <w:rPr>
          <w:rFonts w:ascii="Times New Roman" w:hAnsi="Times New Roman" w:cs="Times New Roman"/>
        </w:rPr>
        <w:t xml:space="preserve"> le discours de Belfort d</w:t>
      </w:r>
      <w:r w:rsidR="00075143">
        <w:rPr>
          <w:rFonts w:ascii="Times New Roman" w:hAnsi="Times New Roman" w:cs="Times New Roman"/>
        </w:rPr>
        <w:t>’</w:t>
      </w:r>
      <w:r w:rsidR="009958F6" w:rsidRPr="00562FA3">
        <w:rPr>
          <w:rFonts w:ascii="Times New Roman" w:hAnsi="Times New Roman" w:cs="Times New Roman"/>
        </w:rPr>
        <w:t>Emmanuel Macron</w:t>
      </w:r>
      <w:r w:rsidR="005A0A9B" w:rsidRPr="00562FA3">
        <w:rPr>
          <w:rFonts w:ascii="Times New Roman" w:hAnsi="Times New Roman" w:cs="Times New Roman"/>
        </w:rPr>
        <w:t xml:space="preserve"> </w:t>
      </w:r>
      <w:r w:rsidRPr="00562FA3">
        <w:rPr>
          <w:rFonts w:ascii="Times New Roman" w:hAnsi="Times New Roman" w:cs="Times New Roman"/>
        </w:rPr>
        <w:t xml:space="preserve">actait, </w:t>
      </w:r>
      <w:r w:rsidR="00ED335A" w:rsidRPr="00562FA3">
        <w:rPr>
          <w:rFonts w:ascii="Times New Roman" w:hAnsi="Times New Roman" w:cs="Times New Roman"/>
        </w:rPr>
        <w:t>« en même temps »</w:t>
      </w:r>
      <w:r w:rsidR="003854A1" w:rsidRPr="00562FA3">
        <w:rPr>
          <w:rFonts w:ascii="Times New Roman" w:hAnsi="Times New Roman" w:cs="Times New Roman"/>
        </w:rPr>
        <w:t>,</w:t>
      </w:r>
      <w:r w:rsidR="00ED335A" w:rsidRPr="00562FA3">
        <w:rPr>
          <w:rFonts w:ascii="Times New Roman" w:hAnsi="Times New Roman" w:cs="Times New Roman"/>
        </w:rPr>
        <w:t xml:space="preserve"> </w:t>
      </w:r>
      <w:r w:rsidR="009958F6" w:rsidRPr="00562FA3">
        <w:rPr>
          <w:rFonts w:ascii="Times New Roman" w:hAnsi="Times New Roman" w:cs="Times New Roman"/>
        </w:rPr>
        <w:t>le retour en grâce du nucléaire</w:t>
      </w:r>
      <w:r w:rsidR="00ED335A" w:rsidRPr="00562FA3">
        <w:rPr>
          <w:rFonts w:ascii="Times New Roman" w:hAnsi="Times New Roman" w:cs="Times New Roman"/>
        </w:rPr>
        <w:t xml:space="preserve">, </w:t>
      </w:r>
      <w:r w:rsidR="00ED335A" w:rsidRPr="00562FA3">
        <w:rPr>
          <w:rFonts w:ascii="Times New Roman" w:hAnsi="Times New Roman" w:cs="Times New Roman"/>
          <w:i/>
        </w:rPr>
        <w:t>via</w:t>
      </w:r>
      <w:r w:rsidR="00ED335A" w:rsidRPr="00562FA3">
        <w:rPr>
          <w:rFonts w:ascii="Times New Roman" w:hAnsi="Times New Roman" w:cs="Times New Roman"/>
        </w:rPr>
        <w:t xml:space="preserve"> </w:t>
      </w:r>
      <w:r w:rsidR="00064AB1" w:rsidRPr="00562FA3">
        <w:rPr>
          <w:rFonts w:ascii="Times New Roman" w:hAnsi="Times New Roman" w:cs="Times New Roman"/>
        </w:rPr>
        <w:t xml:space="preserve">l’annonce </w:t>
      </w:r>
      <w:r w:rsidR="00834FC7" w:rsidRPr="00562FA3">
        <w:rPr>
          <w:rFonts w:ascii="Times New Roman" w:hAnsi="Times New Roman" w:cs="Times New Roman"/>
        </w:rPr>
        <w:t xml:space="preserve">de </w:t>
      </w:r>
      <w:r w:rsidR="00064AB1" w:rsidRPr="00562FA3">
        <w:rPr>
          <w:rFonts w:ascii="Times New Roman" w:hAnsi="Times New Roman" w:cs="Times New Roman"/>
        </w:rPr>
        <w:t xml:space="preserve">la </w:t>
      </w:r>
      <w:r w:rsidR="00834FC7" w:rsidRPr="00562FA3">
        <w:rPr>
          <w:rFonts w:ascii="Times New Roman" w:hAnsi="Times New Roman" w:cs="Times New Roman"/>
        </w:rPr>
        <w:t xml:space="preserve">construction de </w:t>
      </w:r>
      <w:r w:rsidR="00737817">
        <w:rPr>
          <w:rFonts w:ascii="Times New Roman" w:hAnsi="Times New Roman" w:cs="Times New Roman"/>
        </w:rPr>
        <w:t xml:space="preserve">six </w:t>
      </w:r>
      <w:r w:rsidR="00834FC7" w:rsidRPr="00562FA3">
        <w:rPr>
          <w:rFonts w:ascii="Times New Roman" w:hAnsi="Times New Roman" w:cs="Times New Roman"/>
        </w:rPr>
        <w:t xml:space="preserve">EPR et </w:t>
      </w:r>
      <w:r w:rsidR="00562FA3">
        <w:rPr>
          <w:rFonts w:ascii="Times New Roman" w:hAnsi="Times New Roman" w:cs="Times New Roman"/>
        </w:rPr>
        <w:t xml:space="preserve">de </w:t>
      </w:r>
      <w:r w:rsidR="00834FC7" w:rsidRPr="00562FA3">
        <w:rPr>
          <w:rFonts w:ascii="Times New Roman" w:hAnsi="Times New Roman" w:cs="Times New Roman"/>
        </w:rPr>
        <w:t xml:space="preserve">quelques SMR, </w:t>
      </w:r>
      <w:r w:rsidR="009958F6" w:rsidRPr="00562FA3">
        <w:rPr>
          <w:rFonts w:ascii="Times New Roman" w:hAnsi="Times New Roman" w:cs="Times New Roman"/>
        </w:rPr>
        <w:t xml:space="preserve">et une accélération </w:t>
      </w:r>
      <w:r w:rsidR="00737817">
        <w:rPr>
          <w:rFonts w:ascii="Times New Roman" w:hAnsi="Times New Roman" w:cs="Times New Roman"/>
        </w:rPr>
        <w:t>du rythme</w:t>
      </w:r>
      <w:r w:rsidR="00562FA3">
        <w:rPr>
          <w:rFonts w:ascii="Times New Roman" w:hAnsi="Times New Roman" w:cs="Times New Roman"/>
        </w:rPr>
        <w:t xml:space="preserve"> </w:t>
      </w:r>
      <w:r w:rsidR="00737817">
        <w:rPr>
          <w:rFonts w:ascii="Times New Roman" w:hAnsi="Times New Roman" w:cs="Times New Roman"/>
        </w:rPr>
        <w:t>d’</w:t>
      </w:r>
      <w:r w:rsidR="00562FA3">
        <w:rPr>
          <w:rFonts w:ascii="Times New Roman" w:hAnsi="Times New Roman" w:cs="Times New Roman"/>
        </w:rPr>
        <w:t>installations éolienne</w:t>
      </w:r>
      <w:r w:rsidR="00737817">
        <w:rPr>
          <w:rFonts w:ascii="Times New Roman" w:hAnsi="Times New Roman" w:cs="Times New Roman"/>
        </w:rPr>
        <w:t>s</w:t>
      </w:r>
      <w:r w:rsidR="005A0A9B" w:rsidRPr="00562FA3">
        <w:rPr>
          <w:rFonts w:ascii="Times New Roman" w:hAnsi="Times New Roman" w:cs="Times New Roman"/>
        </w:rPr>
        <w:t xml:space="preserve"> et p</w:t>
      </w:r>
      <w:r w:rsidR="00562FA3">
        <w:rPr>
          <w:rFonts w:ascii="Times New Roman" w:hAnsi="Times New Roman" w:cs="Times New Roman"/>
        </w:rPr>
        <w:t>hotovoltaïque</w:t>
      </w:r>
      <w:r w:rsidR="00737817">
        <w:rPr>
          <w:rFonts w:ascii="Times New Roman" w:hAnsi="Times New Roman" w:cs="Times New Roman"/>
        </w:rPr>
        <w:t>s</w:t>
      </w:r>
      <w:r w:rsidR="00834FC7" w:rsidRPr="00562FA3">
        <w:rPr>
          <w:rFonts w:ascii="Times New Roman" w:hAnsi="Times New Roman" w:cs="Times New Roman"/>
        </w:rPr>
        <w:t xml:space="preserve">. </w:t>
      </w:r>
      <w:r w:rsidRPr="00562FA3">
        <w:rPr>
          <w:rFonts w:ascii="Times New Roman" w:hAnsi="Times New Roman" w:cs="Times New Roman"/>
        </w:rPr>
        <w:t>Trois ans plus tard, l</w:t>
      </w:r>
      <w:r w:rsidR="00064AB1" w:rsidRPr="00562FA3">
        <w:rPr>
          <w:rFonts w:ascii="Times New Roman" w:hAnsi="Times New Roman" w:cs="Times New Roman"/>
        </w:rPr>
        <w:t xml:space="preserve">e projet de </w:t>
      </w:r>
      <w:r w:rsidR="0081031E" w:rsidRPr="00562FA3">
        <w:rPr>
          <w:rFonts w:ascii="Times New Roman" w:hAnsi="Times New Roman" w:cs="Times New Roman"/>
        </w:rPr>
        <w:t>programmation pluriannuelle de l’énergie</w:t>
      </w:r>
      <w:r w:rsidR="00BB5010" w:rsidRPr="00562FA3">
        <w:rPr>
          <w:rFonts w:ascii="Times New Roman" w:hAnsi="Times New Roman" w:cs="Times New Roman"/>
        </w:rPr>
        <w:t xml:space="preserve"> </w:t>
      </w:r>
      <w:r w:rsidR="00BD13C6" w:rsidRPr="000576DE">
        <w:rPr>
          <w:rFonts w:ascii="Times New Roman" w:hAnsi="Times New Roman" w:cs="Times New Roman"/>
        </w:rPr>
        <w:t>(PPE3)</w:t>
      </w:r>
      <w:r w:rsidR="00BD13C6" w:rsidRPr="00562FA3">
        <w:rPr>
          <w:rFonts w:ascii="Times New Roman" w:hAnsi="Times New Roman" w:cs="Times New Roman"/>
        </w:rPr>
        <w:t xml:space="preserve"> </w:t>
      </w:r>
      <w:r w:rsidR="009D555F" w:rsidRPr="00562FA3">
        <w:rPr>
          <w:rFonts w:ascii="Times New Roman" w:hAnsi="Times New Roman" w:cs="Times New Roman"/>
        </w:rPr>
        <w:t xml:space="preserve">confirme </w:t>
      </w:r>
      <w:r w:rsidR="00433794" w:rsidRPr="00562FA3">
        <w:rPr>
          <w:rFonts w:ascii="Times New Roman" w:hAnsi="Times New Roman" w:cs="Times New Roman"/>
        </w:rPr>
        <w:t>la</w:t>
      </w:r>
      <w:r w:rsidR="00BD13C6" w:rsidRPr="00562FA3">
        <w:rPr>
          <w:rFonts w:ascii="Times New Roman" w:hAnsi="Times New Roman" w:cs="Times New Roman"/>
        </w:rPr>
        <w:t xml:space="preserve"> marche forcée </w:t>
      </w:r>
      <w:r w:rsidR="00433794" w:rsidRPr="00562FA3">
        <w:rPr>
          <w:rFonts w:ascii="Times New Roman" w:hAnsi="Times New Roman" w:cs="Times New Roman"/>
        </w:rPr>
        <w:t>vers d</w:t>
      </w:r>
      <w:r w:rsidR="00BD13C6" w:rsidRPr="00562FA3">
        <w:rPr>
          <w:rFonts w:ascii="Times New Roman" w:hAnsi="Times New Roman" w:cs="Times New Roman"/>
        </w:rPr>
        <w:t>e</w:t>
      </w:r>
      <w:r w:rsidR="00467601" w:rsidRPr="00562FA3">
        <w:rPr>
          <w:rFonts w:ascii="Times New Roman" w:hAnsi="Times New Roman" w:cs="Times New Roman"/>
        </w:rPr>
        <w:t xml:space="preserve">s parcs d’énergies renouvelables intermittentes </w:t>
      </w:r>
      <w:r w:rsidR="00834FC7" w:rsidRPr="00562FA3">
        <w:rPr>
          <w:rFonts w:ascii="Times New Roman" w:hAnsi="Times New Roman" w:cs="Times New Roman"/>
        </w:rPr>
        <w:t xml:space="preserve">et reste muette </w:t>
      </w:r>
      <w:r w:rsidR="000171E9" w:rsidRPr="00562FA3">
        <w:rPr>
          <w:rFonts w:ascii="Times New Roman" w:hAnsi="Times New Roman" w:cs="Times New Roman"/>
        </w:rPr>
        <w:t xml:space="preserve">sur </w:t>
      </w:r>
      <w:r w:rsidR="008C51F4" w:rsidRPr="00562FA3">
        <w:rPr>
          <w:rFonts w:ascii="Times New Roman" w:hAnsi="Times New Roman" w:cs="Times New Roman"/>
        </w:rPr>
        <w:t xml:space="preserve">les enjeux d’évolution du </w:t>
      </w:r>
      <w:r w:rsidR="00504902" w:rsidRPr="00562FA3">
        <w:rPr>
          <w:rFonts w:ascii="Times New Roman" w:hAnsi="Times New Roman" w:cs="Times New Roman"/>
        </w:rPr>
        <w:t>parc nucléaire</w:t>
      </w:r>
      <w:r w:rsidR="00064AB1" w:rsidRPr="00562FA3">
        <w:rPr>
          <w:rFonts w:ascii="Times New Roman" w:hAnsi="Times New Roman" w:cs="Times New Roman"/>
        </w:rPr>
        <w:t xml:space="preserve">. Or </w:t>
      </w:r>
      <w:r w:rsidR="00064AB1" w:rsidRPr="00562FA3">
        <w:rPr>
          <w:rFonts w:ascii="Times New Roman" w:hAnsi="Times New Roman" w:cs="Times New Roman"/>
          <w:color w:val="0070C0"/>
        </w:rPr>
        <w:t>le parc nucléaire, avec l’hydroélectricité, est notre atout maître depuis des décennies pour assurer à la France une électricité décarbonée à plus de 92</w:t>
      </w:r>
      <w:r w:rsidR="005732C0" w:rsidRPr="00562FA3">
        <w:rPr>
          <w:rFonts w:ascii="Times New Roman" w:hAnsi="Times New Roman" w:cs="Times New Roman"/>
          <w:color w:val="0070C0"/>
        </w:rPr>
        <w:t> %</w:t>
      </w:r>
      <w:r w:rsidR="00064AB1" w:rsidRPr="00562FA3">
        <w:rPr>
          <w:rFonts w:ascii="Times New Roman" w:hAnsi="Times New Roman" w:cs="Times New Roman"/>
          <w:color w:val="0070C0"/>
        </w:rPr>
        <w:t>.</w:t>
      </w:r>
      <w:r w:rsidR="00562FA3">
        <w:rPr>
          <w:rFonts w:ascii="Times New Roman" w:hAnsi="Times New Roman" w:cs="Times New Roman"/>
        </w:rPr>
        <w:t xml:space="preserve"> </w:t>
      </w:r>
      <w:r w:rsidR="00064AB1" w:rsidRPr="00562FA3">
        <w:rPr>
          <w:rFonts w:ascii="Times New Roman" w:hAnsi="Times New Roman" w:cs="Times New Roman"/>
        </w:rPr>
        <w:t xml:space="preserve">La question de l’évolution de ce parc vers le </w:t>
      </w:r>
      <w:r w:rsidR="00562FA3">
        <w:rPr>
          <w:rFonts w:ascii="Times New Roman" w:hAnsi="Times New Roman" w:cs="Times New Roman"/>
        </w:rPr>
        <w:t>nucléaire durable est centrale.</w:t>
      </w:r>
    </w:p>
    <w:p w14:paraId="3B174BED" w14:textId="77ADEEA6" w:rsidR="005A0A9B" w:rsidRPr="00562FA3" w:rsidRDefault="005A0A9B" w:rsidP="00394886">
      <w:pPr>
        <w:spacing w:after="0" w:line="360" w:lineRule="auto"/>
        <w:jc w:val="both"/>
        <w:rPr>
          <w:rFonts w:ascii="Times New Roman" w:hAnsi="Times New Roman" w:cs="Times New Roman"/>
        </w:rPr>
      </w:pPr>
      <w:r w:rsidRPr="00562FA3">
        <w:rPr>
          <w:rFonts w:ascii="Times New Roman" w:hAnsi="Times New Roman" w:cs="Times New Roman"/>
        </w:rPr>
        <w:t xml:space="preserve">Il est donc grand temps de clarifier </w:t>
      </w:r>
      <w:r w:rsidR="00A55967" w:rsidRPr="00562FA3">
        <w:rPr>
          <w:rFonts w:ascii="Times New Roman" w:hAnsi="Times New Roman" w:cs="Times New Roman"/>
        </w:rPr>
        <w:t xml:space="preserve">une nouvelle fois </w:t>
      </w:r>
      <w:r w:rsidRPr="00562FA3">
        <w:rPr>
          <w:rFonts w:ascii="Times New Roman" w:hAnsi="Times New Roman" w:cs="Times New Roman"/>
        </w:rPr>
        <w:t xml:space="preserve">le concept de nucléaire durable, de dire ce qu’il est et ce qu’il n’est pas, </w:t>
      </w:r>
      <w:r w:rsidR="00A55967" w:rsidRPr="00562FA3">
        <w:rPr>
          <w:rFonts w:ascii="Times New Roman" w:hAnsi="Times New Roman" w:cs="Times New Roman"/>
        </w:rPr>
        <w:t>et d’</w:t>
      </w:r>
      <w:r w:rsidRPr="00562FA3">
        <w:rPr>
          <w:rFonts w:ascii="Times New Roman" w:hAnsi="Times New Roman" w:cs="Times New Roman"/>
        </w:rPr>
        <w:t>identifier les priorités les plus urgentes.</w:t>
      </w:r>
    </w:p>
    <w:p w14:paraId="2233DFA4" w14:textId="07C8A987" w:rsidR="005A0A9B" w:rsidRDefault="005A0A9B" w:rsidP="00394886">
      <w:pPr>
        <w:spacing w:after="0" w:line="360" w:lineRule="auto"/>
        <w:jc w:val="both"/>
      </w:pPr>
    </w:p>
    <w:p w14:paraId="3E4568EA" w14:textId="7B4181F9" w:rsidR="00A801DB" w:rsidRPr="0025404F" w:rsidRDefault="00562FA3" w:rsidP="00394886">
      <w:pPr>
        <w:spacing w:after="0" w:line="360" w:lineRule="auto"/>
        <w:jc w:val="both"/>
        <w:rPr>
          <w:rFonts w:ascii="Times New Roman" w:hAnsi="Times New Roman" w:cs="Times New Roman"/>
          <w:b/>
          <w:bCs/>
        </w:rPr>
      </w:pPr>
      <w:r w:rsidRPr="0025404F">
        <w:rPr>
          <w:rFonts w:ascii="Times New Roman" w:hAnsi="Times New Roman" w:cs="Times New Roman"/>
          <w:b/>
          <w:bCs/>
        </w:rPr>
        <w:t>ÉTAT DES LIEUX</w:t>
      </w:r>
    </w:p>
    <w:p w14:paraId="2562124C" w14:textId="3A726916" w:rsidR="00621FA5" w:rsidRPr="0025404F" w:rsidRDefault="00A801DB" w:rsidP="00394886">
      <w:pPr>
        <w:spacing w:after="0" w:line="360" w:lineRule="auto"/>
        <w:jc w:val="both"/>
        <w:rPr>
          <w:rFonts w:ascii="Times New Roman" w:hAnsi="Times New Roman" w:cs="Times New Roman"/>
          <w:bCs/>
          <w:iCs/>
        </w:rPr>
      </w:pPr>
      <w:r w:rsidRPr="0025404F">
        <w:rPr>
          <w:rFonts w:ascii="Times New Roman" w:hAnsi="Times New Roman" w:cs="Times New Roman"/>
          <w:bCs/>
          <w:iCs/>
        </w:rPr>
        <w:t>D</w:t>
      </w:r>
      <w:r w:rsidR="00562FA3" w:rsidRPr="0025404F">
        <w:rPr>
          <w:rFonts w:ascii="Times New Roman" w:hAnsi="Times New Roman" w:cs="Times New Roman"/>
          <w:bCs/>
          <w:iCs/>
        </w:rPr>
        <w:t>isons d’emblée que, d</w:t>
      </w:r>
      <w:r w:rsidRPr="0025404F">
        <w:rPr>
          <w:rFonts w:ascii="Times New Roman" w:hAnsi="Times New Roman" w:cs="Times New Roman"/>
          <w:bCs/>
          <w:iCs/>
        </w:rPr>
        <w:t>ans le contexte du dérèglement climatique, l</w:t>
      </w:r>
      <w:r w:rsidR="00737817">
        <w:rPr>
          <w:rFonts w:ascii="Times New Roman" w:hAnsi="Times New Roman" w:cs="Times New Roman"/>
          <w:bCs/>
          <w:iCs/>
        </w:rPr>
        <w:t>’électronucléaire</w:t>
      </w:r>
      <w:r w:rsidR="00621FA5" w:rsidRPr="0025404F">
        <w:rPr>
          <w:rFonts w:ascii="Times New Roman" w:hAnsi="Times New Roman" w:cs="Times New Roman"/>
          <w:bCs/>
          <w:iCs/>
        </w:rPr>
        <w:t xml:space="preserve"> </w:t>
      </w:r>
      <w:r w:rsidR="009237D9" w:rsidRPr="0025404F">
        <w:rPr>
          <w:rFonts w:ascii="Times New Roman" w:hAnsi="Times New Roman" w:cs="Times New Roman"/>
          <w:bCs/>
          <w:iCs/>
        </w:rPr>
        <w:t>n’est pas une option parmi d’autres</w:t>
      </w:r>
      <w:r w:rsidR="00562FA3" w:rsidRPr="0025404F">
        <w:rPr>
          <w:rFonts w:ascii="Times New Roman" w:hAnsi="Times New Roman" w:cs="Times New Roman"/>
          <w:bCs/>
          <w:iCs/>
        </w:rPr>
        <w:t>.</w:t>
      </w:r>
    </w:p>
    <w:p w14:paraId="14F01EC2" w14:textId="2C76A74E" w:rsidR="00621FA5" w:rsidRPr="0025404F" w:rsidRDefault="00621FA5" w:rsidP="00394886">
      <w:pPr>
        <w:spacing w:after="0" w:line="360" w:lineRule="auto"/>
        <w:jc w:val="both"/>
        <w:rPr>
          <w:rFonts w:ascii="Times New Roman" w:hAnsi="Times New Roman" w:cs="Times New Roman"/>
        </w:rPr>
      </w:pPr>
      <w:r w:rsidRPr="0025404F">
        <w:rPr>
          <w:rFonts w:ascii="Times New Roman" w:hAnsi="Times New Roman" w:cs="Times New Roman"/>
        </w:rPr>
        <w:t xml:space="preserve">L’expérience allemande nous montre </w:t>
      </w:r>
      <w:r w:rsidR="00A55967" w:rsidRPr="0025404F">
        <w:rPr>
          <w:rFonts w:ascii="Times New Roman" w:hAnsi="Times New Roman" w:cs="Times New Roman"/>
        </w:rPr>
        <w:t>l’évolution d</w:t>
      </w:r>
      <w:r w:rsidRPr="0025404F">
        <w:rPr>
          <w:rFonts w:ascii="Times New Roman" w:hAnsi="Times New Roman" w:cs="Times New Roman"/>
        </w:rPr>
        <w:t xml:space="preserve">es taux moyens d’émission de </w:t>
      </w:r>
      <w:r w:rsidRPr="000576DE">
        <w:rPr>
          <w:rFonts w:ascii="Times New Roman" w:hAnsi="Times New Roman" w:cs="Times New Roman"/>
        </w:rPr>
        <w:t>gaz carbonique</w:t>
      </w:r>
      <w:r w:rsidRPr="0025404F">
        <w:rPr>
          <w:rFonts w:ascii="Times New Roman" w:hAnsi="Times New Roman" w:cs="Times New Roman"/>
        </w:rPr>
        <w:t xml:space="preserve"> </w:t>
      </w:r>
      <w:r w:rsidR="00F825FC" w:rsidRPr="0025404F">
        <w:rPr>
          <w:rFonts w:ascii="Times New Roman" w:hAnsi="Times New Roman" w:cs="Times New Roman"/>
        </w:rPr>
        <w:t>sur</w:t>
      </w:r>
      <w:r w:rsidR="00FC6A51" w:rsidRPr="0025404F">
        <w:rPr>
          <w:rFonts w:ascii="Times New Roman" w:hAnsi="Times New Roman" w:cs="Times New Roman"/>
        </w:rPr>
        <w:t xml:space="preserve"> </w:t>
      </w:r>
      <w:r w:rsidR="00A00C1A" w:rsidRPr="0025404F">
        <w:rPr>
          <w:rFonts w:ascii="Times New Roman" w:hAnsi="Times New Roman" w:cs="Times New Roman"/>
        </w:rPr>
        <w:t xml:space="preserve">trente années de montée en puissance du plus grand parc européen </w:t>
      </w:r>
      <w:r w:rsidR="00C50A58" w:rsidRPr="0025404F">
        <w:rPr>
          <w:rFonts w:ascii="Times New Roman" w:hAnsi="Times New Roman" w:cs="Times New Roman"/>
        </w:rPr>
        <w:t xml:space="preserve">éolien </w:t>
      </w:r>
      <w:r w:rsidR="00867DF6" w:rsidRPr="0025404F">
        <w:rPr>
          <w:rFonts w:ascii="Times New Roman" w:hAnsi="Times New Roman" w:cs="Times New Roman"/>
        </w:rPr>
        <w:t>(70</w:t>
      </w:r>
      <w:r w:rsidR="0025404F" w:rsidRPr="0025404F">
        <w:rPr>
          <w:rFonts w:ascii="Times New Roman" w:hAnsi="Times New Roman" w:cs="Times New Roman"/>
        </w:rPr>
        <w:t> </w:t>
      </w:r>
      <w:r w:rsidR="00867DF6" w:rsidRPr="0025404F">
        <w:rPr>
          <w:rFonts w:ascii="Times New Roman" w:hAnsi="Times New Roman" w:cs="Times New Roman"/>
        </w:rPr>
        <w:t xml:space="preserve">GW) </w:t>
      </w:r>
      <w:r w:rsidR="00C50A58" w:rsidRPr="0025404F">
        <w:rPr>
          <w:rFonts w:ascii="Times New Roman" w:hAnsi="Times New Roman" w:cs="Times New Roman"/>
        </w:rPr>
        <w:t>et solaire</w:t>
      </w:r>
      <w:r w:rsidR="00867DF6" w:rsidRPr="0025404F">
        <w:rPr>
          <w:rFonts w:ascii="Times New Roman" w:hAnsi="Times New Roman" w:cs="Times New Roman"/>
        </w:rPr>
        <w:t xml:space="preserve"> (82</w:t>
      </w:r>
      <w:r w:rsidR="0025404F" w:rsidRPr="0025404F">
        <w:rPr>
          <w:rFonts w:ascii="Times New Roman" w:hAnsi="Times New Roman" w:cs="Times New Roman"/>
        </w:rPr>
        <w:t> </w:t>
      </w:r>
      <w:r w:rsidR="00867DF6" w:rsidRPr="0025404F">
        <w:rPr>
          <w:rFonts w:ascii="Times New Roman" w:hAnsi="Times New Roman" w:cs="Times New Roman"/>
        </w:rPr>
        <w:t>GW)</w:t>
      </w:r>
      <w:r w:rsidR="00FB1261" w:rsidRPr="0025404F">
        <w:rPr>
          <w:rStyle w:val="Appelnotedebasdep"/>
          <w:rFonts w:ascii="Times New Roman" w:hAnsi="Times New Roman" w:cs="Times New Roman"/>
          <w:highlight w:val="red"/>
        </w:rPr>
        <w:footnoteReference w:id="2"/>
      </w:r>
      <w:r w:rsidR="00C50A58" w:rsidRPr="0025404F">
        <w:rPr>
          <w:rFonts w:ascii="Times New Roman" w:hAnsi="Times New Roman" w:cs="Times New Roman"/>
        </w:rPr>
        <w:t>. Ce taux moyen</w:t>
      </w:r>
      <w:r w:rsidR="006F5000" w:rsidRPr="0025404F">
        <w:rPr>
          <w:rFonts w:ascii="Times New Roman" w:hAnsi="Times New Roman" w:cs="Times New Roman"/>
        </w:rPr>
        <w:t xml:space="preserve"> </w:t>
      </w:r>
      <w:r w:rsidR="007B0BA8" w:rsidRPr="0025404F">
        <w:rPr>
          <w:rFonts w:ascii="Times New Roman" w:hAnsi="Times New Roman" w:cs="Times New Roman"/>
        </w:rPr>
        <w:t>r</w:t>
      </w:r>
      <w:r w:rsidR="006F5000" w:rsidRPr="0025404F">
        <w:rPr>
          <w:rFonts w:ascii="Times New Roman" w:hAnsi="Times New Roman" w:cs="Times New Roman"/>
        </w:rPr>
        <w:t>est</w:t>
      </w:r>
      <w:r w:rsidR="007B0BA8" w:rsidRPr="0025404F">
        <w:rPr>
          <w:rFonts w:ascii="Times New Roman" w:hAnsi="Times New Roman" w:cs="Times New Roman"/>
        </w:rPr>
        <w:t>e</w:t>
      </w:r>
      <w:r w:rsidR="006F5000" w:rsidRPr="0025404F">
        <w:rPr>
          <w:rFonts w:ascii="Times New Roman" w:hAnsi="Times New Roman" w:cs="Times New Roman"/>
        </w:rPr>
        <w:t xml:space="preserve"> </w:t>
      </w:r>
      <w:r w:rsidR="0025404F" w:rsidRPr="0025404F">
        <w:rPr>
          <w:rFonts w:ascii="Times New Roman" w:hAnsi="Times New Roman" w:cs="Times New Roman"/>
          <w:bCs/>
        </w:rPr>
        <w:t>8 </w:t>
      </w:r>
      <w:r w:rsidRPr="0025404F">
        <w:rPr>
          <w:rFonts w:ascii="Times New Roman" w:hAnsi="Times New Roman" w:cs="Times New Roman"/>
          <w:bCs/>
        </w:rPr>
        <w:t>fois plus élevé</w:t>
      </w:r>
      <w:r w:rsidRPr="0025404F">
        <w:rPr>
          <w:rFonts w:ascii="Times New Roman" w:hAnsi="Times New Roman" w:cs="Times New Roman"/>
        </w:rPr>
        <w:t xml:space="preserve"> </w:t>
      </w:r>
      <w:r w:rsidR="00C50A58" w:rsidRPr="0025404F">
        <w:rPr>
          <w:rFonts w:ascii="Times New Roman" w:hAnsi="Times New Roman" w:cs="Times New Roman"/>
        </w:rPr>
        <w:t>en Allemagne qu’en</w:t>
      </w:r>
      <w:r w:rsidRPr="0025404F">
        <w:rPr>
          <w:rFonts w:ascii="Times New Roman" w:hAnsi="Times New Roman" w:cs="Times New Roman"/>
        </w:rPr>
        <w:t xml:space="preserve"> France</w:t>
      </w:r>
      <w:r w:rsidR="00C50A58" w:rsidRPr="0025404F">
        <w:rPr>
          <w:rFonts w:ascii="Times New Roman" w:hAnsi="Times New Roman" w:cs="Times New Roman"/>
        </w:rPr>
        <w:t xml:space="preserve"> </w:t>
      </w:r>
      <w:r w:rsidR="00C50A58" w:rsidRPr="0025404F">
        <w:rPr>
          <w:rFonts w:ascii="Times New Roman" w:hAnsi="Times New Roman" w:cs="Times New Roman"/>
          <w:i/>
        </w:rPr>
        <w:t>(</w:t>
      </w:r>
      <w:r w:rsidR="0025404F" w:rsidRPr="0025404F">
        <w:rPr>
          <w:rFonts w:ascii="Times New Roman" w:hAnsi="Times New Roman" w:cs="Times New Roman"/>
          <w:i/>
          <w:highlight w:val="cyan"/>
        </w:rPr>
        <w:t>fig.</w:t>
      </w:r>
      <w:r w:rsidR="00481AD5">
        <w:rPr>
          <w:rFonts w:ascii="Times New Roman" w:hAnsi="Times New Roman" w:cs="Times New Roman"/>
          <w:i/>
          <w:highlight w:val="cyan"/>
        </w:rPr>
        <w:t> </w:t>
      </w:r>
      <w:r w:rsidR="00C50A58" w:rsidRPr="0025404F">
        <w:rPr>
          <w:rFonts w:ascii="Times New Roman" w:hAnsi="Times New Roman" w:cs="Times New Roman"/>
          <w:i/>
          <w:highlight w:val="cyan"/>
        </w:rPr>
        <w:t>1</w:t>
      </w:r>
      <w:r w:rsidR="00C50A58" w:rsidRPr="0025404F">
        <w:rPr>
          <w:rFonts w:ascii="Times New Roman" w:hAnsi="Times New Roman" w:cs="Times New Roman"/>
          <w:i/>
        </w:rPr>
        <w:t>)</w:t>
      </w:r>
      <w:r w:rsidRPr="0025404F">
        <w:rPr>
          <w:rFonts w:ascii="Times New Roman" w:hAnsi="Times New Roman" w:cs="Times New Roman"/>
        </w:rPr>
        <w:t xml:space="preserve">. </w:t>
      </w:r>
      <w:r w:rsidR="00C66DCB" w:rsidRPr="0025404F">
        <w:rPr>
          <w:rFonts w:ascii="Times New Roman" w:hAnsi="Times New Roman" w:cs="Times New Roman"/>
        </w:rPr>
        <w:t>En effet</w:t>
      </w:r>
      <w:r w:rsidR="0025404F" w:rsidRPr="0025404F">
        <w:rPr>
          <w:rFonts w:ascii="Times New Roman" w:hAnsi="Times New Roman" w:cs="Times New Roman"/>
        </w:rPr>
        <w:t>,</w:t>
      </w:r>
      <w:r w:rsidR="00C66DCB" w:rsidRPr="0025404F">
        <w:rPr>
          <w:rFonts w:ascii="Times New Roman" w:hAnsi="Times New Roman" w:cs="Times New Roman"/>
        </w:rPr>
        <w:t xml:space="preserve"> </w:t>
      </w:r>
      <w:r w:rsidR="00C66DCB" w:rsidRPr="00F25B14">
        <w:rPr>
          <w:rFonts w:ascii="Times New Roman" w:hAnsi="Times New Roman" w:cs="Times New Roman"/>
          <w:color w:val="0070C0"/>
        </w:rPr>
        <w:t>c</w:t>
      </w:r>
      <w:r w:rsidR="00C50A58" w:rsidRPr="00F25B14">
        <w:rPr>
          <w:rFonts w:ascii="Times New Roman" w:hAnsi="Times New Roman" w:cs="Times New Roman"/>
          <w:color w:val="0070C0"/>
        </w:rPr>
        <w:t xml:space="preserve">es énergies, </w:t>
      </w:r>
      <w:r w:rsidRPr="00F25B14">
        <w:rPr>
          <w:rFonts w:ascii="Times New Roman" w:hAnsi="Times New Roman" w:cs="Times New Roman"/>
          <w:color w:val="0070C0"/>
        </w:rPr>
        <w:t>soumises aux aléas du soleil et du vent</w:t>
      </w:r>
      <w:r w:rsidR="006E292A" w:rsidRPr="00F25B14">
        <w:rPr>
          <w:rFonts w:ascii="Times New Roman" w:hAnsi="Times New Roman" w:cs="Times New Roman"/>
          <w:color w:val="0070C0"/>
        </w:rPr>
        <w:t>,</w:t>
      </w:r>
      <w:r w:rsidR="000619F4" w:rsidRPr="00F25B14">
        <w:rPr>
          <w:rFonts w:ascii="Times New Roman" w:hAnsi="Times New Roman" w:cs="Times New Roman"/>
          <w:color w:val="0070C0"/>
        </w:rPr>
        <w:t xml:space="preserve"> ont un facteur de charge</w:t>
      </w:r>
      <w:r w:rsidR="0025404F" w:rsidRPr="00F25B14">
        <w:rPr>
          <w:rFonts w:ascii="Times New Roman" w:hAnsi="Times New Roman" w:cs="Times New Roman"/>
          <w:color w:val="0070C0"/>
        </w:rPr>
        <w:t xml:space="preserve"> </w:t>
      </w:r>
      <w:r w:rsidR="0025404F" w:rsidRPr="00F25B14">
        <w:rPr>
          <w:rFonts w:ascii="Times New Roman" w:hAnsi="Times New Roman" w:cs="Times New Roman"/>
        </w:rPr>
        <w:t>–</w:t>
      </w:r>
      <w:r w:rsidR="000619F4" w:rsidRPr="00F25B14">
        <w:rPr>
          <w:rFonts w:ascii="Times New Roman" w:hAnsi="Times New Roman" w:cs="Times New Roman"/>
        </w:rPr>
        <w:t xml:space="preserve"> </w:t>
      </w:r>
      <w:r w:rsidR="0025404F" w:rsidRPr="00F25B14">
        <w:rPr>
          <w:rFonts w:ascii="Times New Roman" w:hAnsi="Times New Roman" w:cs="Times New Roman"/>
        </w:rPr>
        <w:t xml:space="preserve">un rapport de la puissance effective de fonctionnement à la puissance théorique installée – </w:t>
      </w:r>
      <w:r w:rsidR="000619F4" w:rsidRPr="00F25B14">
        <w:rPr>
          <w:rFonts w:ascii="Times New Roman" w:hAnsi="Times New Roman" w:cs="Times New Roman"/>
          <w:color w:val="0070C0"/>
        </w:rPr>
        <w:t xml:space="preserve">moyen </w:t>
      </w:r>
      <w:r w:rsidR="00A801DB" w:rsidRPr="00F25B14">
        <w:rPr>
          <w:rFonts w:ascii="Times New Roman" w:hAnsi="Times New Roman" w:cs="Times New Roman"/>
          <w:color w:val="0070C0"/>
        </w:rPr>
        <w:t>très faible</w:t>
      </w:r>
      <w:r w:rsidR="00DA1506" w:rsidRPr="00F25B14">
        <w:rPr>
          <w:rFonts w:ascii="Times New Roman" w:hAnsi="Times New Roman" w:cs="Times New Roman"/>
          <w:color w:val="0070C0"/>
        </w:rPr>
        <w:t xml:space="preserve"> : </w:t>
      </w:r>
      <w:r w:rsidR="000619F4" w:rsidRPr="00F25B14">
        <w:rPr>
          <w:rFonts w:ascii="Times New Roman" w:hAnsi="Times New Roman" w:cs="Times New Roman"/>
          <w:color w:val="0070C0"/>
        </w:rPr>
        <w:t>26</w:t>
      </w:r>
      <w:r w:rsidR="005732C0" w:rsidRPr="00F25B14">
        <w:rPr>
          <w:rFonts w:ascii="Times New Roman" w:hAnsi="Times New Roman" w:cs="Times New Roman"/>
          <w:color w:val="0070C0"/>
        </w:rPr>
        <w:t> %</w:t>
      </w:r>
      <w:r w:rsidR="000619F4" w:rsidRPr="00F25B14">
        <w:rPr>
          <w:rFonts w:ascii="Times New Roman" w:hAnsi="Times New Roman" w:cs="Times New Roman"/>
          <w:color w:val="0070C0"/>
        </w:rPr>
        <w:t xml:space="preserve"> </w:t>
      </w:r>
      <w:r w:rsidR="00737817" w:rsidRPr="00F25B14">
        <w:rPr>
          <w:rFonts w:ascii="Times New Roman" w:hAnsi="Times New Roman" w:cs="Times New Roman"/>
          <w:color w:val="0070C0"/>
        </w:rPr>
        <w:t>pour l’éolien,</w:t>
      </w:r>
      <w:r w:rsidR="000619F4" w:rsidRPr="00F25B14">
        <w:rPr>
          <w:rFonts w:ascii="Times New Roman" w:hAnsi="Times New Roman" w:cs="Times New Roman"/>
          <w:color w:val="0070C0"/>
        </w:rPr>
        <w:t xml:space="preserve"> 13</w:t>
      </w:r>
      <w:r w:rsidR="005732C0" w:rsidRPr="00F25B14">
        <w:rPr>
          <w:rFonts w:ascii="Times New Roman" w:hAnsi="Times New Roman" w:cs="Times New Roman"/>
          <w:color w:val="0070C0"/>
        </w:rPr>
        <w:t> %</w:t>
      </w:r>
      <w:r w:rsidR="000619F4" w:rsidRPr="00F25B14">
        <w:rPr>
          <w:rFonts w:ascii="Times New Roman" w:hAnsi="Times New Roman" w:cs="Times New Roman"/>
          <w:color w:val="0070C0"/>
        </w:rPr>
        <w:t xml:space="preserve"> </w:t>
      </w:r>
      <w:r w:rsidR="00737817" w:rsidRPr="00F25B14">
        <w:rPr>
          <w:rFonts w:ascii="Times New Roman" w:hAnsi="Times New Roman" w:cs="Times New Roman"/>
          <w:color w:val="0070C0"/>
        </w:rPr>
        <w:t xml:space="preserve">pour le </w:t>
      </w:r>
      <w:r w:rsidR="000619F4" w:rsidRPr="00F25B14">
        <w:rPr>
          <w:rFonts w:ascii="Times New Roman" w:hAnsi="Times New Roman" w:cs="Times New Roman"/>
          <w:color w:val="0070C0"/>
        </w:rPr>
        <w:t xml:space="preserve">solaire. </w:t>
      </w:r>
      <w:r w:rsidR="001900FD" w:rsidRPr="00F25B14">
        <w:rPr>
          <w:rFonts w:ascii="Times New Roman" w:hAnsi="Times New Roman" w:cs="Times New Roman"/>
          <w:color w:val="0070C0"/>
        </w:rPr>
        <w:t>Pour assurer le fonctionnement du système électrique</w:t>
      </w:r>
      <w:r w:rsidR="0025404F" w:rsidRPr="00F25B14">
        <w:rPr>
          <w:rFonts w:ascii="Times New Roman" w:hAnsi="Times New Roman" w:cs="Times New Roman"/>
          <w:color w:val="0070C0"/>
        </w:rPr>
        <w:t>,</w:t>
      </w:r>
      <w:r w:rsidR="001900FD" w:rsidRPr="00F25B14">
        <w:rPr>
          <w:rFonts w:ascii="Times New Roman" w:hAnsi="Times New Roman" w:cs="Times New Roman"/>
          <w:color w:val="0070C0"/>
        </w:rPr>
        <w:t xml:space="preserve"> elles </w:t>
      </w:r>
      <w:r w:rsidR="00C90D2F" w:rsidRPr="00F25B14">
        <w:rPr>
          <w:rFonts w:ascii="Times New Roman" w:hAnsi="Times New Roman" w:cs="Times New Roman"/>
          <w:color w:val="0070C0"/>
        </w:rPr>
        <w:t xml:space="preserve">doivent donc être adossées </w:t>
      </w:r>
      <w:r w:rsidR="000619F4" w:rsidRPr="00F25B14">
        <w:rPr>
          <w:rFonts w:ascii="Times New Roman" w:hAnsi="Times New Roman" w:cs="Times New Roman"/>
          <w:color w:val="0070C0"/>
        </w:rPr>
        <w:t>à des parcs thermiques de charbon et de gaz</w:t>
      </w:r>
      <w:r w:rsidR="00A801DB" w:rsidRPr="00F25B14">
        <w:rPr>
          <w:rFonts w:ascii="Times New Roman" w:hAnsi="Times New Roman" w:cs="Times New Roman"/>
          <w:color w:val="0070C0"/>
        </w:rPr>
        <w:t xml:space="preserve">, ce qui </w:t>
      </w:r>
      <w:r w:rsidR="00533611" w:rsidRPr="00F25B14">
        <w:rPr>
          <w:rFonts w:ascii="Times New Roman" w:hAnsi="Times New Roman" w:cs="Times New Roman"/>
          <w:color w:val="0070C0"/>
        </w:rPr>
        <w:t>obère</w:t>
      </w:r>
      <w:r w:rsidR="00A801DB" w:rsidRPr="00F25B14">
        <w:rPr>
          <w:rFonts w:ascii="Times New Roman" w:hAnsi="Times New Roman" w:cs="Times New Roman"/>
          <w:color w:val="0070C0"/>
        </w:rPr>
        <w:t xml:space="preserve"> leur intérêt pour le climat</w:t>
      </w:r>
      <w:r w:rsidR="000619F4" w:rsidRPr="00F25B14">
        <w:rPr>
          <w:rFonts w:ascii="Times New Roman" w:hAnsi="Times New Roman" w:cs="Times New Roman"/>
          <w:color w:val="0070C0"/>
        </w:rPr>
        <w:t>.</w:t>
      </w:r>
      <w:r w:rsidR="00562FA3" w:rsidRPr="0025404F">
        <w:rPr>
          <w:rFonts w:ascii="Times New Roman" w:hAnsi="Times New Roman" w:cs="Times New Roman"/>
        </w:rPr>
        <w:t xml:space="preserve"> </w:t>
      </w:r>
      <w:r w:rsidR="00FA1CC2" w:rsidRPr="0025404F">
        <w:rPr>
          <w:rFonts w:ascii="Times New Roman" w:hAnsi="Times New Roman" w:cs="Times New Roman"/>
        </w:rPr>
        <w:t>Quand elles sont</w:t>
      </w:r>
      <w:r w:rsidR="00737817">
        <w:rPr>
          <w:rFonts w:ascii="Times New Roman" w:hAnsi="Times New Roman" w:cs="Times New Roman"/>
        </w:rPr>
        <w:t>,</w:t>
      </w:r>
      <w:r w:rsidR="00FA1CC2" w:rsidRPr="0025404F">
        <w:rPr>
          <w:rFonts w:ascii="Times New Roman" w:hAnsi="Times New Roman" w:cs="Times New Roman"/>
        </w:rPr>
        <w:t xml:space="preserve"> comme en </w:t>
      </w:r>
      <w:r w:rsidR="00737817">
        <w:rPr>
          <w:rFonts w:ascii="Times New Roman" w:hAnsi="Times New Roman" w:cs="Times New Roman"/>
        </w:rPr>
        <w:t>France,</w:t>
      </w:r>
      <w:r w:rsidR="00FA1CC2" w:rsidRPr="0025404F">
        <w:rPr>
          <w:rFonts w:ascii="Times New Roman" w:hAnsi="Times New Roman" w:cs="Times New Roman"/>
        </w:rPr>
        <w:t xml:space="preserve"> associées à un parc nucléaire, </w:t>
      </w:r>
      <w:r w:rsidR="00292F76" w:rsidRPr="0025404F">
        <w:rPr>
          <w:rFonts w:ascii="Times New Roman" w:hAnsi="Times New Roman" w:cs="Times New Roman"/>
        </w:rPr>
        <w:t>elles</w:t>
      </w:r>
      <w:r w:rsidR="003F49DC" w:rsidRPr="0025404F">
        <w:rPr>
          <w:rFonts w:ascii="Times New Roman" w:hAnsi="Times New Roman" w:cs="Times New Roman"/>
        </w:rPr>
        <w:t xml:space="preserve"> n’ont </w:t>
      </w:r>
      <w:r w:rsidR="00CA236E" w:rsidRPr="0025404F">
        <w:rPr>
          <w:rFonts w:ascii="Times New Roman" w:hAnsi="Times New Roman" w:cs="Times New Roman"/>
        </w:rPr>
        <w:t xml:space="preserve">aucune </w:t>
      </w:r>
      <w:r w:rsidR="003F49DC" w:rsidRPr="0025404F">
        <w:rPr>
          <w:rFonts w:ascii="Times New Roman" w:hAnsi="Times New Roman" w:cs="Times New Roman"/>
        </w:rPr>
        <w:t xml:space="preserve">utilité pour le climat puisque le nucléaire est </w:t>
      </w:r>
      <w:r w:rsidR="00CA236E" w:rsidRPr="0025404F">
        <w:rPr>
          <w:rFonts w:ascii="Times New Roman" w:hAnsi="Times New Roman" w:cs="Times New Roman"/>
        </w:rPr>
        <w:t xml:space="preserve">déjà </w:t>
      </w:r>
      <w:r w:rsidR="003F49DC" w:rsidRPr="0025404F">
        <w:rPr>
          <w:rFonts w:ascii="Times New Roman" w:hAnsi="Times New Roman" w:cs="Times New Roman"/>
        </w:rPr>
        <w:t>décarboné</w:t>
      </w:r>
      <w:r w:rsidR="001A6E80" w:rsidRPr="0025404F">
        <w:rPr>
          <w:rFonts w:ascii="Times New Roman" w:hAnsi="Times New Roman" w:cs="Times New Roman"/>
        </w:rPr>
        <w:t> ; en revanche</w:t>
      </w:r>
      <w:r w:rsidR="0025404F" w:rsidRPr="0025404F">
        <w:rPr>
          <w:rFonts w:ascii="Times New Roman" w:hAnsi="Times New Roman" w:cs="Times New Roman"/>
        </w:rPr>
        <w:t>,</w:t>
      </w:r>
      <w:r w:rsidR="001A6E80" w:rsidRPr="0025404F">
        <w:rPr>
          <w:rFonts w:ascii="Times New Roman" w:hAnsi="Times New Roman" w:cs="Times New Roman"/>
        </w:rPr>
        <w:t xml:space="preserve"> le </w:t>
      </w:r>
      <w:r w:rsidR="001A6E80" w:rsidRPr="0025404F">
        <w:rPr>
          <w:rFonts w:ascii="Times New Roman" w:hAnsi="Times New Roman" w:cs="Times New Roman"/>
          <w:i/>
        </w:rPr>
        <w:t>stop and go</w:t>
      </w:r>
      <w:r w:rsidR="001A6E80" w:rsidRPr="0025404F">
        <w:rPr>
          <w:rFonts w:ascii="Times New Roman" w:hAnsi="Times New Roman" w:cs="Times New Roman"/>
        </w:rPr>
        <w:t xml:space="preserve"> qu’elles imposent aux réacteurs </w:t>
      </w:r>
      <w:r w:rsidR="0005256A" w:rsidRPr="0025404F">
        <w:rPr>
          <w:rFonts w:ascii="Times New Roman" w:hAnsi="Times New Roman" w:cs="Times New Roman"/>
        </w:rPr>
        <w:t xml:space="preserve">accélère </w:t>
      </w:r>
      <w:r w:rsidR="00A801DB" w:rsidRPr="0025404F">
        <w:rPr>
          <w:rFonts w:ascii="Times New Roman" w:hAnsi="Times New Roman" w:cs="Times New Roman"/>
        </w:rPr>
        <w:t xml:space="preserve">leur vieillissement et </w:t>
      </w:r>
      <w:r w:rsidR="0005256A" w:rsidRPr="0025404F">
        <w:rPr>
          <w:rFonts w:ascii="Times New Roman" w:hAnsi="Times New Roman" w:cs="Times New Roman"/>
        </w:rPr>
        <w:t xml:space="preserve">dégrade </w:t>
      </w:r>
      <w:r w:rsidR="00A801DB" w:rsidRPr="0025404F">
        <w:rPr>
          <w:rFonts w:ascii="Times New Roman" w:hAnsi="Times New Roman" w:cs="Times New Roman"/>
        </w:rPr>
        <w:t>probablement</w:t>
      </w:r>
      <w:r w:rsidR="00D316F7" w:rsidRPr="0025404F">
        <w:rPr>
          <w:rFonts w:ascii="Times New Roman" w:hAnsi="Times New Roman" w:cs="Times New Roman"/>
        </w:rPr>
        <w:t xml:space="preserve"> leur sûreté d’ensemble</w:t>
      </w:r>
      <w:r w:rsidR="006D0917">
        <w:rPr>
          <w:rFonts w:ascii="Times New Roman" w:hAnsi="Times New Roman" w:cs="Times New Roman"/>
        </w:rPr>
        <w:t xml:space="preserve">, comme le </w:t>
      </w:r>
      <w:r w:rsidR="006D0917" w:rsidRPr="006D0917">
        <w:rPr>
          <w:rFonts w:ascii="Times New Roman" w:hAnsi="Times New Roman" w:cs="Times New Roman"/>
        </w:rPr>
        <w:t>note l’</w:t>
      </w:r>
      <w:r w:rsidR="006D0917">
        <w:rPr>
          <w:rFonts w:ascii="Times New Roman" w:hAnsi="Times New Roman" w:cs="Times New Roman"/>
        </w:rPr>
        <w:t>i</w:t>
      </w:r>
      <w:r w:rsidR="006D0917" w:rsidRPr="006D0917">
        <w:rPr>
          <w:rFonts w:ascii="Times New Roman" w:hAnsi="Times New Roman" w:cs="Times New Roman"/>
        </w:rPr>
        <w:t>nspecteur général pour la sûreté nucléaire et la radioprotection dans son rapport de 2024 (p. 13).</w:t>
      </w:r>
    </w:p>
    <w:p w14:paraId="0BBB10B1" w14:textId="59A2A693" w:rsidR="00C50A58" w:rsidRDefault="00C50A58" w:rsidP="00394886">
      <w:pPr>
        <w:spacing w:after="0" w:line="360" w:lineRule="auto"/>
        <w:jc w:val="both"/>
      </w:pPr>
      <w:r>
        <w:rPr>
          <w:noProof/>
          <w:lang w:eastAsia="fr-FR"/>
        </w:rPr>
        <w:lastRenderedPageBreak/>
        <w:drawing>
          <wp:anchor distT="0" distB="0" distL="114300" distR="114300" simplePos="0" relativeHeight="251658240" behindDoc="0" locked="0" layoutInCell="1" allowOverlap="1" wp14:anchorId="48857548" wp14:editId="22896EBF">
            <wp:simplePos x="0" y="0"/>
            <wp:positionH relativeFrom="margin">
              <wp:posOffset>1905</wp:posOffset>
            </wp:positionH>
            <wp:positionV relativeFrom="paragraph">
              <wp:posOffset>1905</wp:posOffset>
            </wp:positionV>
            <wp:extent cx="2850515" cy="2222500"/>
            <wp:effectExtent l="0" t="0" r="6985" b="6350"/>
            <wp:wrapSquare wrapText="bothSides"/>
            <wp:docPr id="760150902" name="Graphique 1">
              <a:extLst xmlns:a="http://schemas.openxmlformats.org/drawingml/2006/main">
                <a:ext uri="{FF2B5EF4-FFF2-40B4-BE49-F238E27FC236}">
                  <a16:creationId xmlns:a16="http://schemas.microsoft.com/office/drawing/2014/main" id="{4AF0AC5A-E79C-4254-9347-70AD1E29FF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F270938" w14:textId="252E4DB2" w:rsidR="00394886" w:rsidRPr="003A606C" w:rsidRDefault="000576DE" w:rsidP="00394886">
      <w:pPr>
        <w:spacing w:after="0" w:line="360" w:lineRule="auto"/>
        <w:jc w:val="both"/>
        <w:rPr>
          <w:sz w:val="18"/>
          <w:szCs w:val="18"/>
        </w:rPr>
      </w:pPr>
      <w:r w:rsidRPr="00AF09B7">
        <w:rPr>
          <w:b/>
          <w:i/>
          <w:sz w:val="18"/>
          <w:szCs w:val="18"/>
        </w:rPr>
        <w:t xml:space="preserve">Figure 1. </w:t>
      </w:r>
      <w:r w:rsidRPr="00AF09B7">
        <w:rPr>
          <w:b/>
          <w:sz w:val="18"/>
          <w:szCs w:val="18"/>
        </w:rPr>
        <w:t>–</w:t>
      </w:r>
      <w:r w:rsidR="00C50A58" w:rsidRPr="00394886">
        <w:rPr>
          <w:sz w:val="18"/>
          <w:szCs w:val="18"/>
        </w:rPr>
        <w:t xml:space="preserve"> Comparaison des taux moyens</w:t>
      </w:r>
      <w:r w:rsidR="00091994">
        <w:rPr>
          <w:sz w:val="18"/>
          <w:szCs w:val="18"/>
        </w:rPr>
        <w:t xml:space="preserve"> d’émission</w:t>
      </w:r>
      <w:r w:rsidR="003720E9">
        <w:rPr>
          <w:sz w:val="18"/>
          <w:szCs w:val="18"/>
        </w:rPr>
        <w:t>s</w:t>
      </w:r>
      <w:r w:rsidR="00C50A58" w:rsidRPr="00394886">
        <w:rPr>
          <w:sz w:val="18"/>
          <w:szCs w:val="18"/>
        </w:rPr>
        <w:t xml:space="preserve"> de CO</w:t>
      </w:r>
      <w:r w:rsidR="00C50A58" w:rsidRPr="00091994">
        <w:rPr>
          <w:sz w:val="18"/>
          <w:szCs w:val="18"/>
          <w:vertAlign w:val="subscript"/>
        </w:rPr>
        <w:t>2</w:t>
      </w:r>
      <w:r w:rsidR="00C50A58" w:rsidRPr="00394886">
        <w:rPr>
          <w:sz w:val="18"/>
          <w:szCs w:val="18"/>
        </w:rPr>
        <w:t xml:space="preserve"> liés à la production d’électricité en Allemagne et en France. </w:t>
      </w:r>
    </w:p>
    <w:p w14:paraId="2F48C613" w14:textId="7E56C278" w:rsidR="002E371E" w:rsidRDefault="00AF09B7" w:rsidP="00394886">
      <w:pPr>
        <w:spacing w:after="0" w:line="360" w:lineRule="auto"/>
        <w:jc w:val="both"/>
      </w:pPr>
      <w:r w:rsidRPr="00AF09B7">
        <w:rPr>
          <w:color w:val="FF0000"/>
        </w:rPr>
        <w:t>(((((</w:t>
      </w:r>
      <w:proofErr w:type="spellStart"/>
      <w:r w:rsidRPr="00AF09B7">
        <w:rPr>
          <w:color w:val="FF0000"/>
        </w:rPr>
        <w:t>Frédo</w:t>
      </w:r>
      <w:proofErr w:type="spellEnd"/>
      <w:r w:rsidRPr="00AF09B7">
        <w:rPr>
          <w:color w:val="FF0000"/>
        </w:rPr>
        <w:t>, le texte ci-dessus remplace ce qui apparaît comme titre du graphique.)))))</w:t>
      </w:r>
    </w:p>
    <w:p w14:paraId="5832EF5A" w14:textId="77777777" w:rsidR="002E371E" w:rsidRDefault="002E371E" w:rsidP="00394886">
      <w:pPr>
        <w:spacing w:after="0" w:line="360" w:lineRule="auto"/>
        <w:jc w:val="both"/>
      </w:pPr>
    </w:p>
    <w:p w14:paraId="07128804" w14:textId="77777777" w:rsidR="002E371E" w:rsidRDefault="002E371E" w:rsidP="00394886">
      <w:pPr>
        <w:spacing w:after="0" w:line="360" w:lineRule="auto"/>
        <w:jc w:val="both"/>
      </w:pPr>
    </w:p>
    <w:p w14:paraId="1BE5E446" w14:textId="77777777" w:rsidR="002E371E" w:rsidRDefault="002E371E" w:rsidP="00394886">
      <w:pPr>
        <w:spacing w:after="0" w:line="360" w:lineRule="auto"/>
        <w:jc w:val="both"/>
      </w:pPr>
    </w:p>
    <w:p w14:paraId="23086D81" w14:textId="77777777" w:rsidR="002E371E" w:rsidRDefault="002E371E" w:rsidP="00394886">
      <w:pPr>
        <w:spacing w:after="0" w:line="360" w:lineRule="auto"/>
        <w:jc w:val="both"/>
      </w:pPr>
    </w:p>
    <w:p w14:paraId="460E80BD" w14:textId="3DFA9850" w:rsidR="002E371E" w:rsidRDefault="002E371E" w:rsidP="00394886">
      <w:pPr>
        <w:spacing w:after="0" w:line="360" w:lineRule="auto"/>
        <w:jc w:val="both"/>
      </w:pPr>
    </w:p>
    <w:p w14:paraId="51B21917" w14:textId="77777777" w:rsidR="000576DE" w:rsidRDefault="000576DE" w:rsidP="00394886">
      <w:pPr>
        <w:spacing w:after="0" w:line="360" w:lineRule="auto"/>
        <w:jc w:val="both"/>
      </w:pPr>
    </w:p>
    <w:p w14:paraId="4E035F34" w14:textId="5C4451D7" w:rsidR="002E371E" w:rsidRPr="00B97C49" w:rsidRDefault="007937E3" w:rsidP="00394886">
      <w:pPr>
        <w:spacing w:after="0" w:line="360" w:lineRule="auto"/>
        <w:jc w:val="both"/>
        <w:rPr>
          <w:rFonts w:ascii="Times New Roman" w:hAnsi="Times New Roman" w:cs="Times New Roman"/>
        </w:rPr>
      </w:pPr>
      <w:r w:rsidRPr="00B97C49">
        <w:rPr>
          <w:rFonts w:ascii="Times New Roman" w:hAnsi="Times New Roman" w:cs="Times New Roman"/>
        </w:rPr>
        <w:t>Pour freiner la dérive climatique</w:t>
      </w:r>
      <w:r w:rsidR="00B97C49" w:rsidRPr="00B97C49">
        <w:rPr>
          <w:rFonts w:ascii="Times New Roman" w:hAnsi="Times New Roman" w:cs="Times New Roman"/>
        </w:rPr>
        <w:t>,</w:t>
      </w:r>
      <w:r w:rsidRPr="00B97C49">
        <w:rPr>
          <w:rFonts w:ascii="Times New Roman" w:hAnsi="Times New Roman" w:cs="Times New Roman"/>
        </w:rPr>
        <w:t xml:space="preserve"> </w:t>
      </w:r>
      <w:r w:rsidR="00B97C49" w:rsidRPr="00B97C49">
        <w:rPr>
          <w:rFonts w:ascii="Times New Roman" w:hAnsi="Times New Roman" w:cs="Times New Roman"/>
        </w:rPr>
        <w:t>un</w:t>
      </w:r>
      <w:r w:rsidR="00BB62F4" w:rsidRPr="00B97C49">
        <w:rPr>
          <w:rFonts w:ascii="Times New Roman" w:hAnsi="Times New Roman" w:cs="Times New Roman"/>
        </w:rPr>
        <w:t xml:space="preserve"> développement </w:t>
      </w:r>
      <w:r w:rsidR="007F622D" w:rsidRPr="00B97C49">
        <w:rPr>
          <w:rFonts w:ascii="Times New Roman" w:hAnsi="Times New Roman" w:cs="Times New Roman"/>
        </w:rPr>
        <w:t xml:space="preserve">inexorable </w:t>
      </w:r>
      <w:r w:rsidR="00BB62F4" w:rsidRPr="00B97C49">
        <w:rPr>
          <w:rFonts w:ascii="Times New Roman" w:hAnsi="Times New Roman" w:cs="Times New Roman"/>
        </w:rPr>
        <w:t xml:space="preserve">des </w:t>
      </w:r>
      <w:r w:rsidR="000648B3" w:rsidRPr="00B97C49">
        <w:rPr>
          <w:rFonts w:ascii="Times New Roman" w:hAnsi="Times New Roman" w:cs="Times New Roman"/>
        </w:rPr>
        <w:t xml:space="preserve">énergies renouvelables intermittentes </w:t>
      </w:r>
      <w:r w:rsidR="00BB62F4" w:rsidRPr="00B97C49">
        <w:rPr>
          <w:rFonts w:ascii="Times New Roman" w:hAnsi="Times New Roman" w:cs="Times New Roman"/>
        </w:rPr>
        <w:t xml:space="preserve">est une </w:t>
      </w:r>
      <w:r w:rsidR="007E0E61" w:rsidRPr="00B97C49">
        <w:rPr>
          <w:rFonts w:ascii="Times New Roman" w:hAnsi="Times New Roman" w:cs="Times New Roman"/>
        </w:rPr>
        <w:t>impasse</w:t>
      </w:r>
      <w:r w:rsidR="00562FA3" w:rsidRPr="00B97C49">
        <w:rPr>
          <w:rFonts w:ascii="Times New Roman" w:hAnsi="Times New Roman" w:cs="Times New Roman"/>
        </w:rPr>
        <w:t>,</w:t>
      </w:r>
      <w:r w:rsidR="007E0E61" w:rsidRPr="00B97C49">
        <w:rPr>
          <w:rFonts w:ascii="Times New Roman" w:hAnsi="Times New Roman" w:cs="Times New Roman"/>
        </w:rPr>
        <w:t xml:space="preserve"> </w:t>
      </w:r>
      <w:r w:rsidR="007F622D" w:rsidRPr="00B97C49">
        <w:rPr>
          <w:rFonts w:ascii="Times New Roman" w:hAnsi="Times New Roman" w:cs="Times New Roman"/>
        </w:rPr>
        <w:t xml:space="preserve">car </w:t>
      </w:r>
      <w:r w:rsidR="00562FA3" w:rsidRPr="00B97C49">
        <w:rPr>
          <w:rFonts w:ascii="Times New Roman" w:hAnsi="Times New Roman" w:cs="Times New Roman"/>
        </w:rPr>
        <w:t>elles</w:t>
      </w:r>
      <w:r w:rsidR="001872AA" w:rsidRPr="00B97C49">
        <w:rPr>
          <w:rFonts w:ascii="Times New Roman" w:hAnsi="Times New Roman" w:cs="Times New Roman"/>
        </w:rPr>
        <w:t xml:space="preserve"> </w:t>
      </w:r>
      <w:r w:rsidR="00664716" w:rsidRPr="00B97C49">
        <w:rPr>
          <w:rFonts w:ascii="Times New Roman" w:hAnsi="Times New Roman" w:cs="Times New Roman"/>
        </w:rPr>
        <w:t>maintiennent l’</w:t>
      </w:r>
      <w:r w:rsidR="00316329" w:rsidRPr="00B97C49">
        <w:rPr>
          <w:rFonts w:ascii="Times New Roman" w:hAnsi="Times New Roman" w:cs="Times New Roman"/>
        </w:rPr>
        <w:t>asserviss</w:t>
      </w:r>
      <w:r w:rsidR="00664716" w:rsidRPr="00B97C49">
        <w:rPr>
          <w:rFonts w:ascii="Times New Roman" w:hAnsi="Times New Roman" w:cs="Times New Roman"/>
        </w:rPr>
        <w:t>em</w:t>
      </w:r>
      <w:r w:rsidR="00316329" w:rsidRPr="00B97C49">
        <w:rPr>
          <w:rFonts w:ascii="Times New Roman" w:hAnsi="Times New Roman" w:cs="Times New Roman"/>
        </w:rPr>
        <w:t xml:space="preserve">ent aux </w:t>
      </w:r>
      <w:r w:rsidR="007F622D" w:rsidRPr="00B97C49">
        <w:rPr>
          <w:rFonts w:ascii="Times New Roman" w:hAnsi="Times New Roman" w:cs="Times New Roman"/>
        </w:rPr>
        <w:t>énergies fossiles</w:t>
      </w:r>
      <w:r w:rsidR="006716BA" w:rsidRPr="00B97C49">
        <w:rPr>
          <w:rFonts w:ascii="Times New Roman" w:hAnsi="Times New Roman" w:cs="Times New Roman"/>
        </w:rPr>
        <w:t>.</w:t>
      </w:r>
    </w:p>
    <w:p w14:paraId="32B00B2F" w14:textId="53A311FE" w:rsidR="00A512D5" w:rsidRPr="00B97C49" w:rsidRDefault="003938E9" w:rsidP="00394886">
      <w:pPr>
        <w:spacing w:after="0" w:line="360" w:lineRule="auto"/>
        <w:jc w:val="both"/>
        <w:rPr>
          <w:rFonts w:ascii="Times New Roman" w:hAnsi="Times New Roman" w:cs="Times New Roman"/>
          <w:bCs/>
        </w:rPr>
      </w:pPr>
      <w:r w:rsidRPr="00B97C49">
        <w:rPr>
          <w:rFonts w:ascii="Times New Roman" w:hAnsi="Times New Roman" w:cs="Times New Roman"/>
          <w:bCs/>
        </w:rPr>
        <w:t xml:space="preserve">De fait, les seules alternatives pilotables </w:t>
      </w:r>
      <w:r w:rsidR="002B6A36" w:rsidRPr="00B97C49">
        <w:rPr>
          <w:rFonts w:ascii="Times New Roman" w:hAnsi="Times New Roman" w:cs="Times New Roman"/>
          <w:bCs/>
        </w:rPr>
        <w:t>aux fossiles</w:t>
      </w:r>
      <w:r w:rsidR="0036572F" w:rsidRPr="00B97C49">
        <w:rPr>
          <w:rFonts w:ascii="Times New Roman" w:hAnsi="Times New Roman" w:cs="Times New Roman"/>
          <w:bCs/>
        </w:rPr>
        <w:t xml:space="preserve"> sont </w:t>
      </w:r>
      <w:r w:rsidRPr="00B97C49">
        <w:rPr>
          <w:rFonts w:ascii="Times New Roman" w:hAnsi="Times New Roman" w:cs="Times New Roman"/>
          <w:bCs/>
        </w:rPr>
        <w:t>l’hydroélectricité et</w:t>
      </w:r>
      <w:r w:rsidR="0082759A" w:rsidRPr="00B97C49">
        <w:rPr>
          <w:rFonts w:ascii="Times New Roman" w:hAnsi="Times New Roman" w:cs="Times New Roman"/>
          <w:bCs/>
        </w:rPr>
        <w:t xml:space="preserve"> </w:t>
      </w:r>
      <w:r w:rsidRPr="00B97C49">
        <w:rPr>
          <w:rFonts w:ascii="Times New Roman" w:hAnsi="Times New Roman" w:cs="Times New Roman"/>
          <w:bCs/>
        </w:rPr>
        <w:t>l’électro</w:t>
      </w:r>
      <w:r w:rsidR="0082759A" w:rsidRPr="00B97C49">
        <w:rPr>
          <w:rFonts w:ascii="Times New Roman" w:hAnsi="Times New Roman" w:cs="Times New Roman"/>
          <w:bCs/>
        </w:rPr>
        <w:t>nucléaire</w:t>
      </w:r>
      <w:r w:rsidR="000A3F23" w:rsidRPr="00B97C49">
        <w:rPr>
          <w:rFonts w:ascii="Times New Roman" w:hAnsi="Times New Roman" w:cs="Times New Roman"/>
          <w:bCs/>
        </w:rPr>
        <w:t xml:space="preserve">. </w:t>
      </w:r>
      <w:r w:rsidR="0036572F" w:rsidRPr="00B97C49">
        <w:rPr>
          <w:rFonts w:ascii="Times New Roman" w:hAnsi="Times New Roman" w:cs="Times New Roman"/>
          <w:bCs/>
        </w:rPr>
        <w:t>C</w:t>
      </w:r>
      <w:r w:rsidR="000A3F23" w:rsidRPr="00B97C49">
        <w:rPr>
          <w:rFonts w:ascii="Times New Roman" w:hAnsi="Times New Roman" w:cs="Times New Roman"/>
          <w:bCs/>
        </w:rPr>
        <w:t>ependant</w:t>
      </w:r>
      <w:r w:rsidR="0036572F" w:rsidRPr="00B97C49">
        <w:rPr>
          <w:rFonts w:ascii="Times New Roman" w:hAnsi="Times New Roman" w:cs="Times New Roman"/>
          <w:bCs/>
        </w:rPr>
        <w:t xml:space="preserve">, </w:t>
      </w:r>
      <w:r w:rsidR="003A606C" w:rsidRPr="00B97C49">
        <w:rPr>
          <w:rFonts w:ascii="Times New Roman" w:hAnsi="Times New Roman" w:cs="Times New Roman"/>
          <w:bCs/>
        </w:rPr>
        <w:t xml:space="preserve">être décarboné ne suffit pas : </w:t>
      </w:r>
      <w:r w:rsidR="0036572F" w:rsidRPr="00B97C49">
        <w:rPr>
          <w:rFonts w:ascii="Times New Roman" w:hAnsi="Times New Roman" w:cs="Times New Roman"/>
          <w:bCs/>
        </w:rPr>
        <w:t>à la fois pour des raisons éthiques et pour des raisons de disponibilité de la ressource,</w:t>
      </w:r>
      <w:r w:rsidR="00562FA3" w:rsidRPr="00B97C49">
        <w:rPr>
          <w:rFonts w:ascii="Times New Roman" w:hAnsi="Times New Roman" w:cs="Times New Roman"/>
          <w:bCs/>
        </w:rPr>
        <w:t xml:space="preserve"> </w:t>
      </w:r>
      <w:r w:rsidR="0036572F" w:rsidRPr="00B97C49">
        <w:rPr>
          <w:rFonts w:ascii="Times New Roman" w:hAnsi="Times New Roman" w:cs="Times New Roman"/>
          <w:bCs/>
        </w:rPr>
        <w:t xml:space="preserve">il est </w:t>
      </w:r>
      <w:r w:rsidR="008F5341" w:rsidRPr="00B97C49">
        <w:rPr>
          <w:rFonts w:ascii="Times New Roman" w:hAnsi="Times New Roman" w:cs="Times New Roman"/>
          <w:bCs/>
        </w:rPr>
        <w:t>impératif</w:t>
      </w:r>
      <w:r w:rsidR="007937E3" w:rsidRPr="00B97C49">
        <w:rPr>
          <w:rFonts w:ascii="Times New Roman" w:hAnsi="Times New Roman" w:cs="Times New Roman"/>
          <w:bCs/>
        </w:rPr>
        <w:t xml:space="preserve"> </w:t>
      </w:r>
      <w:r w:rsidR="0082759A" w:rsidRPr="00B97C49">
        <w:rPr>
          <w:rFonts w:ascii="Times New Roman" w:hAnsi="Times New Roman" w:cs="Times New Roman"/>
          <w:bCs/>
        </w:rPr>
        <w:t>de</w:t>
      </w:r>
      <w:r w:rsidR="0036572F" w:rsidRPr="00B97C49">
        <w:rPr>
          <w:rFonts w:ascii="Times New Roman" w:hAnsi="Times New Roman" w:cs="Times New Roman"/>
          <w:bCs/>
        </w:rPr>
        <w:t xml:space="preserve"> réorienter le nucléaire v</w:t>
      </w:r>
      <w:r w:rsidR="00AE0D13">
        <w:rPr>
          <w:rFonts w:ascii="Times New Roman" w:hAnsi="Times New Roman" w:cs="Times New Roman"/>
          <w:bCs/>
        </w:rPr>
        <w:t>e</w:t>
      </w:r>
      <w:r w:rsidR="0036572F" w:rsidRPr="00B97C49">
        <w:rPr>
          <w:rFonts w:ascii="Times New Roman" w:hAnsi="Times New Roman" w:cs="Times New Roman"/>
          <w:bCs/>
        </w:rPr>
        <w:t>rs le nucléaire durable</w:t>
      </w:r>
      <w:r w:rsidR="00C5709D" w:rsidRPr="00B97C49">
        <w:rPr>
          <w:rFonts w:ascii="Times New Roman" w:hAnsi="Times New Roman" w:cs="Times New Roman"/>
          <w:bCs/>
        </w:rPr>
        <w:t xml:space="preserve">, </w:t>
      </w:r>
      <w:r w:rsidR="00980867" w:rsidRPr="00B97C49">
        <w:rPr>
          <w:rFonts w:ascii="Times New Roman" w:hAnsi="Times New Roman" w:cs="Times New Roman"/>
          <w:bCs/>
        </w:rPr>
        <w:t>ce qui nécessite</w:t>
      </w:r>
      <w:r w:rsidR="004268A4" w:rsidRPr="00B97C49">
        <w:rPr>
          <w:rFonts w:ascii="Times New Roman" w:hAnsi="Times New Roman" w:cs="Times New Roman"/>
          <w:bCs/>
        </w:rPr>
        <w:t xml:space="preserve"> des réacteurs à neutrons rapides</w:t>
      </w:r>
      <w:r w:rsidR="00A512D5" w:rsidRPr="00B97C49">
        <w:rPr>
          <w:rFonts w:ascii="Times New Roman" w:hAnsi="Times New Roman" w:cs="Times New Roman"/>
          <w:bCs/>
        </w:rPr>
        <w:t xml:space="preserve">. </w:t>
      </w:r>
    </w:p>
    <w:p w14:paraId="0D7FB76E" w14:textId="77777777" w:rsidR="00394886" w:rsidRPr="00B97C49" w:rsidRDefault="00394886" w:rsidP="00394886">
      <w:pPr>
        <w:spacing w:after="0" w:line="360" w:lineRule="auto"/>
        <w:jc w:val="both"/>
        <w:rPr>
          <w:rFonts w:ascii="Times New Roman" w:hAnsi="Times New Roman" w:cs="Times New Roman"/>
          <w:b/>
          <w:bCs/>
          <w:i/>
          <w:iCs/>
        </w:rPr>
      </w:pPr>
    </w:p>
    <w:p w14:paraId="7B8706F8" w14:textId="590B30F1" w:rsidR="003C12C7" w:rsidRPr="00B97C49" w:rsidRDefault="00562FA3" w:rsidP="00394886">
      <w:pPr>
        <w:spacing w:after="0" w:line="360" w:lineRule="auto"/>
        <w:jc w:val="both"/>
        <w:rPr>
          <w:rFonts w:ascii="Times New Roman" w:hAnsi="Times New Roman" w:cs="Times New Roman"/>
          <w:b/>
          <w:bCs/>
          <w:iCs/>
        </w:rPr>
      </w:pPr>
      <w:r w:rsidRPr="00B97C49">
        <w:rPr>
          <w:rFonts w:ascii="Times New Roman" w:hAnsi="Times New Roman" w:cs="Times New Roman"/>
          <w:b/>
          <w:bCs/>
          <w:iCs/>
        </w:rPr>
        <w:t>ÉTHIQUE ET NÉCESSITE DU NUCLÉAIRE DURABLE</w:t>
      </w:r>
    </w:p>
    <w:p w14:paraId="2E1B9C36" w14:textId="6A0A87D6" w:rsidR="00394886" w:rsidRPr="00B97C49" w:rsidRDefault="00A512D5" w:rsidP="00394886">
      <w:pPr>
        <w:spacing w:after="0" w:line="360" w:lineRule="auto"/>
        <w:jc w:val="both"/>
        <w:rPr>
          <w:rFonts w:ascii="Times New Roman" w:hAnsi="Times New Roman" w:cs="Times New Roman"/>
        </w:rPr>
      </w:pPr>
      <w:r w:rsidRPr="006D0917">
        <w:rPr>
          <w:rFonts w:ascii="Times New Roman" w:hAnsi="Times New Roman" w:cs="Times New Roman"/>
        </w:rPr>
        <w:t>L</w:t>
      </w:r>
      <w:r w:rsidR="002E35C9" w:rsidRPr="006D0917">
        <w:rPr>
          <w:rFonts w:ascii="Times New Roman" w:hAnsi="Times New Roman" w:cs="Times New Roman"/>
        </w:rPr>
        <w:t xml:space="preserve">a durabilité </w:t>
      </w:r>
      <w:r w:rsidR="00823223" w:rsidRPr="006D0917">
        <w:rPr>
          <w:rFonts w:ascii="Times New Roman" w:hAnsi="Times New Roman" w:cs="Times New Roman"/>
        </w:rPr>
        <w:t xml:space="preserve">a été </w:t>
      </w:r>
      <w:r w:rsidR="009E7829" w:rsidRPr="006D0917">
        <w:rPr>
          <w:rFonts w:ascii="Times New Roman" w:hAnsi="Times New Roman" w:cs="Times New Roman"/>
        </w:rPr>
        <w:t xml:space="preserve">définie </w:t>
      </w:r>
      <w:r w:rsidR="00F6653E" w:rsidRPr="006D0917">
        <w:rPr>
          <w:rFonts w:ascii="Times New Roman" w:hAnsi="Times New Roman" w:cs="Times New Roman"/>
        </w:rPr>
        <w:t xml:space="preserve">en 1987 </w:t>
      </w:r>
      <w:r w:rsidR="006D0917" w:rsidRPr="006D0917">
        <w:rPr>
          <w:rFonts w:ascii="Times New Roman" w:hAnsi="Times New Roman" w:cs="Times New Roman"/>
        </w:rPr>
        <w:t xml:space="preserve">dans le rapport rédigé par la </w:t>
      </w:r>
      <w:r w:rsidR="006D0917" w:rsidRPr="006D0917">
        <w:rPr>
          <w:rFonts w:ascii="Times New Roman" w:hAnsi="Times New Roman" w:cs="Times New Roman"/>
          <w:iCs/>
        </w:rPr>
        <w:t>Commission mondiale sur l’environnement et le développement</w:t>
      </w:r>
      <w:r w:rsidR="006D0917" w:rsidRPr="006D0917">
        <w:rPr>
          <w:rFonts w:ascii="Times New Roman" w:hAnsi="Times New Roman" w:cs="Times New Roman"/>
        </w:rPr>
        <w:t xml:space="preserve"> de l’ONU, présidée par la Norvégienne Gro Harlem Brundtland</w:t>
      </w:r>
      <w:r w:rsidR="006D0917" w:rsidRPr="00B97C49">
        <w:rPr>
          <w:rFonts w:ascii="Times New Roman" w:hAnsi="Times New Roman" w:cs="Times New Roman"/>
        </w:rPr>
        <w:t xml:space="preserve"> </w:t>
      </w:r>
      <w:r w:rsidR="00EF5B2B" w:rsidRPr="00B97C49">
        <w:rPr>
          <w:rFonts w:ascii="Times New Roman" w:hAnsi="Times New Roman" w:cs="Times New Roman"/>
        </w:rPr>
        <w:t xml:space="preserve">intitulé </w:t>
      </w:r>
      <w:r w:rsidR="00E637A6">
        <w:rPr>
          <w:rFonts w:ascii="Times New Roman" w:hAnsi="Times New Roman" w:cs="Times New Roman"/>
        </w:rPr>
        <w:t>Notre avenir à tous</w:t>
      </w:r>
      <w:r w:rsidR="00A5408E" w:rsidRPr="00B97C49">
        <w:rPr>
          <w:rFonts w:ascii="Times New Roman" w:hAnsi="Times New Roman" w:cs="Times New Roman"/>
        </w:rPr>
        <w:t xml:space="preserve">, à travers </w:t>
      </w:r>
      <w:r w:rsidR="00B97C49" w:rsidRPr="00B97C49">
        <w:rPr>
          <w:rFonts w:ascii="Times New Roman" w:hAnsi="Times New Roman" w:cs="Times New Roman"/>
        </w:rPr>
        <w:t xml:space="preserve">trois objectifs prioritaires </w:t>
      </w:r>
      <w:r w:rsidR="00DF24E8" w:rsidRPr="00B97C49">
        <w:rPr>
          <w:rFonts w:ascii="Times New Roman" w:hAnsi="Times New Roman" w:cs="Times New Roman"/>
        </w:rPr>
        <w:t xml:space="preserve">et </w:t>
      </w:r>
      <w:r w:rsidR="00B97C49" w:rsidRPr="00B97C49">
        <w:rPr>
          <w:rFonts w:ascii="Times New Roman" w:hAnsi="Times New Roman" w:cs="Times New Roman"/>
        </w:rPr>
        <w:t xml:space="preserve">visés </w:t>
      </w:r>
      <w:r w:rsidR="00DF24E8" w:rsidRPr="00B97C49">
        <w:rPr>
          <w:rFonts w:ascii="Times New Roman" w:hAnsi="Times New Roman" w:cs="Times New Roman"/>
        </w:rPr>
        <w:t>simultané</w:t>
      </w:r>
      <w:r w:rsidR="00B97C49" w:rsidRPr="00B97C49">
        <w:rPr>
          <w:rFonts w:ascii="Times New Roman" w:hAnsi="Times New Roman" w:cs="Times New Roman"/>
        </w:rPr>
        <w:t>ment </w:t>
      </w:r>
      <w:r w:rsidR="00816807" w:rsidRPr="00B97C49">
        <w:rPr>
          <w:rFonts w:ascii="Times New Roman" w:hAnsi="Times New Roman" w:cs="Times New Roman"/>
        </w:rPr>
        <w:t xml:space="preserve">: économiser les ressources naturelles ; </w:t>
      </w:r>
      <w:r w:rsidR="006D0917">
        <w:rPr>
          <w:rFonts w:ascii="Times New Roman" w:hAnsi="Times New Roman" w:cs="Times New Roman"/>
        </w:rPr>
        <w:t xml:space="preserve">réduire au minimum </w:t>
      </w:r>
      <w:r w:rsidR="00816807" w:rsidRPr="00B97C49">
        <w:rPr>
          <w:rFonts w:ascii="Times New Roman" w:hAnsi="Times New Roman" w:cs="Times New Roman"/>
        </w:rPr>
        <w:t>les déchets produits</w:t>
      </w:r>
      <w:r w:rsidR="009C5189" w:rsidRPr="00B97C49">
        <w:rPr>
          <w:rFonts w:ascii="Times New Roman" w:hAnsi="Times New Roman" w:cs="Times New Roman"/>
        </w:rPr>
        <w:t> ; développer des solutions socialement et économiquement acceptables.</w:t>
      </w:r>
    </w:p>
    <w:p w14:paraId="5E2D81EF" w14:textId="0C995825" w:rsidR="004460CE" w:rsidRPr="00F4305F" w:rsidRDefault="004460CE" w:rsidP="00394886">
      <w:pPr>
        <w:spacing w:after="0" w:line="360" w:lineRule="auto"/>
        <w:jc w:val="both"/>
        <w:rPr>
          <w:rFonts w:ascii="Times New Roman" w:hAnsi="Times New Roman" w:cs="Times New Roman"/>
        </w:rPr>
      </w:pPr>
      <w:r w:rsidRPr="00F4305F">
        <w:rPr>
          <w:rFonts w:ascii="Times New Roman" w:hAnsi="Times New Roman" w:cs="Times New Roman"/>
        </w:rPr>
        <w:t xml:space="preserve">En France et </w:t>
      </w:r>
      <w:r w:rsidR="00B60028" w:rsidRPr="00F4305F">
        <w:rPr>
          <w:rFonts w:ascii="Times New Roman" w:hAnsi="Times New Roman" w:cs="Times New Roman"/>
        </w:rPr>
        <w:t>dans le monde</w:t>
      </w:r>
      <w:r w:rsidRPr="00F4305F">
        <w:rPr>
          <w:rFonts w:ascii="Times New Roman" w:hAnsi="Times New Roman" w:cs="Times New Roman"/>
        </w:rPr>
        <w:t xml:space="preserve">, la </w:t>
      </w:r>
      <w:r w:rsidR="0032411B" w:rsidRPr="00F4305F">
        <w:rPr>
          <w:rFonts w:ascii="Times New Roman" w:hAnsi="Times New Roman" w:cs="Times New Roman"/>
        </w:rPr>
        <w:t>fission nucléaire repose sur la fission de l’uranium</w:t>
      </w:r>
      <w:r w:rsidR="00F4305F">
        <w:rPr>
          <w:rFonts w:ascii="Times New Roman" w:hAnsi="Times New Roman" w:cs="Times New Roman"/>
        </w:rPr>
        <w:t> </w:t>
      </w:r>
      <w:r w:rsidR="0032411B" w:rsidRPr="00F4305F">
        <w:rPr>
          <w:rFonts w:ascii="Times New Roman" w:hAnsi="Times New Roman" w:cs="Times New Roman"/>
        </w:rPr>
        <w:t>235</w:t>
      </w:r>
      <w:r w:rsidR="00B97C49" w:rsidRPr="00F4305F">
        <w:rPr>
          <w:rFonts w:ascii="Times New Roman" w:hAnsi="Times New Roman" w:cs="Times New Roman"/>
        </w:rPr>
        <w:t xml:space="preserve"> (U</w:t>
      </w:r>
      <w:r w:rsidR="00B97C49" w:rsidRPr="00F4305F">
        <w:rPr>
          <w:rFonts w:ascii="Times New Roman" w:hAnsi="Times New Roman" w:cs="Times New Roman"/>
          <w:vertAlign w:val="superscript"/>
        </w:rPr>
        <w:t>235</w:t>
      </w:r>
      <w:r w:rsidR="00B97C49" w:rsidRPr="00F4305F">
        <w:rPr>
          <w:rFonts w:ascii="Times New Roman" w:hAnsi="Times New Roman" w:cs="Times New Roman"/>
        </w:rPr>
        <w:t>)</w:t>
      </w:r>
      <w:r w:rsidR="00126441" w:rsidRPr="00F4305F">
        <w:rPr>
          <w:rFonts w:ascii="Times New Roman" w:hAnsi="Times New Roman" w:cs="Times New Roman"/>
        </w:rPr>
        <w:t>, seul noyau fissile</w:t>
      </w:r>
      <w:r w:rsidR="004644BD" w:rsidRPr="00F4305F">
        <w:rPr>
          <w:rStyle w:val="Appelnotedebasdep"/>
          <w:rFonts w:ascii="Times New Roman" w:hAnsi="Times New Roman" w:cs="Times New Roman"/>
          <w:highlight w:val="red"/>
        </w:rPr>
        <w:footnoteReference w:id="3"/>
      </w:r>
      <w:r w:rsidR="00126441" w:rsidRPr="00F4305F">
        <w:rPr>
          <w:rFonts w:ascii="Times New Roman" w:hAnsi="Times New Roman" w:cs="Times New Roman"/>
        </w:rPr>
        <w:t xml:space="preserve"> disponible à la surface de la Terre, mais présent à seulement 0,7</w:t>
      </w:r>
      <w:r w:rsidR="005732C0" w:rsidRPr="00F4305F">
        <w:rPr>
          <w:rFonts w:ascii="Times New Roman" w:hAnsi="Times New Roman" w:cs="Times New Roman"/>
        </w:rPr>
        <w:t> %</w:t>
      </w:r>
      <w:r w:rsidR="00126441" w:rsidRPr="00F4305F">
        <w:rPr>
          <w:rFonts w:ascii="Times New Roman" w:hAnsi="Times New Roman" w:cs="Times New Roman"/>
        </w:rPr>
        <w:t xml:space="preserve"> dans </w:t>
      </w:r>
      <w:r w:rsidR="00F16F75" w:rsidRPr="00F4305F">
        <w:rPr>
          <w:rFonts w:ascii="Times New Roman" w:hAnsi="Times New Roman" w:cs="Times New Roman"/>
        </w:rPr>
        <w:t>le minerai</w:t>
      </w:r>
      <w:r w:rsidR="00126441" w:rsidRPr="00F4305F">
        <w:rPr>
          <w:rFonts w:ascii="Times New Roman" w:hAnsi="Times New Roman" w:cs="Times New Roman"/>
        </w:rPr>
        <w:t xml:space="preserve"> d’uranium. </w:t>
      </w:r>
      <w:r w:rsidR="002E67C0" w:rsidRPr="00F4305F">
        <w:rPr>
          <w:rFonts w:ascii="Times New Roman" w:hAnsi="Times New Roman" w:cs="Times New Roman"/>
        </w:rPr>
        <w:t>Les REP</w:t>
      </w:r>
      <w:r w:rsidR="00C93FF0" w:rsidRPr="00F4305F">
        <w:rPr>
          <w:rFonts w:ascii="Times New Roman" w:hAnsi="Times New Roman" w:cs="Times New Roman"/>
        </w:rPr>
        <w:t xml:space="preserve"> (réacteur à eau pressurisée)</w:t>
      </w:r>
      <w:r w:rsidR="002E67C0" w:rsidRPr="00F4305F">
        <w:rPr>
          <w:rFonts w:ascii="Times New Roman" w:hAnsi="Times New Roman" w:cs="Times New Roman"/>
        </w:rPr>
        <w:t xml:space="preserve"> ou leur version modernisée</w:t>
      </w:r>
      <w:r w:rsidR="00F4305F" w:rsidRPr="00F4305F">
        <w:rPr>
          <w:rFonts w:ascii="Times New Roman" w:hAnsi="Times New Roman" w:cs="Times New Roman"/>
        </w:rPr>
        <w:t>,</w:t>
      </w:r>
      <w:r w:rsidR="002E67C0" w:rsidRPr="00F4305F">
        <w:rPr>
          <w:rFonts w:ascii="Times New Roman" w:hAnsi="Times New Roman" w:cs="Times New Roman"/>
        </w:rPr>
        <w:t xml:space="preserve"> l’EPR, sont des réacteurs à neutrons lents</w:t>
      </w:r>
      <w:r w:rsidR="00394886" w:rsidRPr="00F4305F">
        <w:rPr>
          <w:rStyle w:val="Appelnotedebasdep"/>
          <w:rFonts w:ascii="Times New Roman" w:hAnsi="Times New Roman" w:cs="Times New Roman"/>
          <w:highlight w:val="red"/>
        </w:rPr>
        <w:footnoteReference w:id="4"/>
      </w:r>
      <w:r w:rsidR="002E67C0" w:rsidRPr="00F4305F">
        <w:rPr>
          <w:rFonts w:ascii="Times New Roman" w:hAnsi="Times New Roman" w:cs="Times New Roman"/>
        </w:rPr>
        <w:t xml:space="preserve"> conçus pour </w:t>
      </w:r>
      <w:r w:rsidR="008B1709" w:rsidRPr="00F4305F">
        <w:rPr>
          <w:rFonts w:ascii="Times New Roman" w:hAnsi="Times New Roman" w:cs="Times New Roman"/>
        </w:rPr>
        <w:t>optimise</w:t>
      </w:r>
      <w:r w:rsidR="002E67C0" w:rsidRPr="00F4305F">
        <w:rPr>
          <w:rFonts w:ascii="Times New Roman" w:hAnsi="Times New Roman" w:cs="Times New Roman"/>
        </w:rPr>
        <w:t xml:space="preserve">r la fission de </w:t>
      </w:r>
      <w:r w:rsidR="00F4305F" w:rsidRPr="00F4305F">
        <w:rPr>
          <w:rFonts w:ascii="Times New Roman" w:hAnsi="Times New Roman" w:cs="Times New Roman"/>
        </w:rPr>
        <w:t>l’U</w:t>
      </w:r>
      <w:r w:rsidR="00F4305F" w:rsidRPr="00F4305F">
        <w:rPr>
          <w:rFonts w:ascii="Times New Roman" w:hAnsi="Times New Roman" w:cs="Times New Roman"/>
          <w:vertAlign w:val="superscript"/>
        </w:rPr>
        <w:t>235</w:t>
      </w:r>
      <w:r w:rsidR="002E67C0" w:rsidRPr="00F4305F">
        <w:rPr>
          <w:rFonts w:ascii="Times New Roman" w:hAnsi="Times New Roman" w:cs="Times New Roman"/>
        </w:rPr>
        <w:t>.</w:t>
      </w:r>
      <w:r w:rsidR="00C93FF0" w:rsidRPr="00F4305F">
        <w:rPr>
          <w:rFonts w:ascii="Times New Roman" w:hAnsi="Times New Roman" w:cs="Times New Roman"/>
        </w:rPr>
        <w:t xml:space="preserve"> Cette technologie laisse de côté plus de 99</w:t>
      </w:r>
      <w:r w:rsidR="005732C0" w:rsidRPr="00F4305F">
        <w:rPr>
          <w:rFonts w:ascii="Times New Roman" w:hAnsi="Times New Roman" w:cs="Times New Roman"/>
        </w:rPr>
        <w:t> %</w:t>
      </w:r>
      <w:r w:rsidR="00C93FF0" w:rsidRPr="00F4305F">
        <w:rPr>
          <w:rFonts w:ascii="Times New Roman" w:hAnsi="Times New Roman" w:cs="Times New Roman"/>
        </w:rPr>
        <w:t xml:space="preserve"> du minerai constitué d’uranium</w:t>
      </w:r>
      <w:r w:rsidR="00F4305F">
        <w:rPr>
          <w:rFonts w:ascii="Times New Roman" w:hAnsi="Times New Roman" w:cs="Times New Roman"/>
        </w:rPr>
        <w:t> </w:t>
      </w:r>
      <w:r w:rsidR="00C93FF0" w:rsidRPr="00F4305F">
        <w:rPr>
          <w:rFonts w:ascii="Times New Roman" w:hAnsi="Times New Roman" w:cs="Times New Roman"/>
        </w:rPr>
        <w:t>238</w:t>
      </w:r>
      <w:r w:rsidR="00F4305F">
        <w:rPr>
          <w:rFonts w:ascii="Times New Roman" w:hAnsi="Times New Roman" w:cs="Times New Roman"/>
        </w:rPr>
        <w:t xml:space="preserve"> (</w:t>
      </w:r>
      <w:r w:rsidR="00F4305F" w:rsidRPr="00F4305F">
        <w:rPr>
          <w:rFonts w:ascii="Times New Roman" w:hAnsi="Times New Roman" w:cs="Times New Roman"/>
        </w:rPr>
        <w:t>U</w:t>
      </w:r>
      <w:r w:rsidR="00F4305F" w:rsidRPr="00F4305F">
        <w:rPr>
          <w:rFonts w:ascii="Times New Roman" w:hAnsi="Times New Roman" w:cs="Times New Roman"/>
          <w:vertAlign w:val="superscript"/>
        </w:rPr>
        <w:t>23</w:t>
      </w:r>
      <w:r w:rsidR="00F4305F">
        <w:rPr>
          <w:rFonts w:ascii="Times New Roman" w:hAnsi="Times New Roman" w:cs="Times New Roman"/>
          <w:vertAlign w:val="superscript"/>
        </w:rPr>
        <w:t>8</w:t>
      </w:r>
      <w:r w:rsidR="00F4305F">
        <w:rPr>
          <w:rFonts w:ascii="Times New Roman" w:hAnsi="Times New Roman" w:cs="Times New Roman"/>
        </w:rPr>
        <w:t>)</w:t>
      </w:r>
      <w:r w:rsidR="00F4305F" w:rsidRPr="00F4305F">
        <w:rPr>
          <w:rFonts w:ascii="Times New Roman" w:hAnsi="Times New Roman" w:cs="Times New Roman"/>
        </w:rPr>
        <w:t>,</w:t>
      </w:r>
      <w:r w:rsidR="00C93FF0" w:rsidRPr="00F4305F">
        <w:rPr>
          <w:rFonts w:ascii="Times New Roman" w:hAnsi="Times New Roman" w:cs="Times New Roman"/>
        </w:rPr>
        <w:t xml:space="preserve"> qui n’est pas fissile. </w:t>
      </w:r>
      <w:r w:rsidR="00490925" w:rsidRPr="00F4305F">
        <w:rPr>
          <w:rFonts w:ascii="Times New Roman" w:hAnsi="Times New Roman" w:cs="Times New Roman"/>
        </w:rPr>
        <w:t>Par ailleurs,</w:t>
      </w:r>
      <w:r w:rsidR="004A7CFC" w:rsidRPr="00F4305F">
        <w:rPr>
          <w:rFonts w:ascii="Times New Roman" w:hAnsi="Times New Roman" w:cs="Times New Roman"/>
        </w:rPr>
        <w:t xml:space="preserve"> dans un</w:t>
      </w:r>
      <w:r w:rsidR="00A5408E" w:rsidRPr="00F4305F">
        <w:rPr>
          <w:rFonts w:ascii="Times New Roman" w:hAnsi="Times New Roman" w:cs="Times New Roman"/>
        </w:rPr>
        <w:t xml:space="preserve"> REP </w:t>
      </w:r>
      <w:r w:rsidR="00435370" w:rsidRPr="00F4305F">
        <w:rPr>
          <w:rFonts w:ascii="Times New Roman" w:hAnsi="Times New Roman" w:cs="Times New Roman"/>
        </w:rPr>
        <w:t xml:space="preserve">le processus de capture neutronique </w:t>
      </w:r>
      <w:r w:rsidR="00D379AB" w:rsidRPr="00F4305F">
        <w:rPr>
          <w:rFonts w:ascii="Times New Roman" w:hAnsi="Times New Roman" w:cs="Times New Roman"/>
        </w:rPr>
        <w:t>domine celui de fission</w:t>
      </w:r>
      <w:r w:rsidRPr="00F4305F">
        <w:rPr>
          <w:rFonts w:ascii="Times New Roman" w:hAnsi="Times New Roman" w:cs="Times New Roman"/>
        </w:rPr>
        <w:t>,</w:t>
      </w:r>
      <w:r w:rsidR="00D379AB" w:rsidRPr="00F4305F">
        <w:rPr>
          <w:rFonts w:ascii="Times New Roman" w:hAnsi="Times New Roman" w:cs="Times New Roman"/>
        </w:rPr>
        <w:t xml:space="preserve"> </w:t>
      </w:r>
      <w:r w:rsidR="00C93FF0" w:rsidRPr="00F4305F">
        <w:rPr>
          <w:rFonts w:ascii="Times New Roman" w:hAnsi="Times New Roman" w:cs="Times New Roman"/>
        </w:rPr>
        <w:t xml:space="preserve">ce qui conduit à la </w:t>
      </w:r>
      <w:r w:rsidR="004D7EE8" w:rsidRPr="00F4305F">
        <w:rPr>
          <w:rFonts w:ascii="Times New Roman" w:hAnsi="Times New Roman" w:cs="Times New Roman"/>
        </w:rPr>
        <w:t>production de déchets qu</w:t>
      </w:r>
      <w:r w:rsidR="008B55B5" w:rsidRPr="00F4305F">
        <w:rPr>
          <w:rFonts w:ascii="Times New Roman" w:hAnsi="Times New Roman" w:cs="Times New Roman"/>
        </w:rPr>
        <w:t>e</w:t>
      </w:r>
      <w:r w:rsidR="004D7EE8" w:rsidRPr="00F4305F">
        <w:rPr>
          <w:rFonts w:ascii="Times New Roman" w:hAnsi="Times New Roman" w:cs="Times New Roman"/>
        </w:rPr>
        <w:t xml:space="preserve"> sont les </w:t>
      </w:r>
      <w:r w:rsidR="00343DE8" w:rsidRPr="00F4305F">
        <w:rPr>
          <w:rFonts w:ascii="Times New Roman" w:hAnsi="Times New Roman" w:cs="Times New Roman"/>
        </w:rPr>
        <w:t>transuranien</w:t>
      </w:r>
      <w:r w:rsidR="00C93FF0" w:rsidRPr="00F4305F">
        <w:rPr>
          <w:rFonts w:ascii="Times New Roman" w:hAnsi="Times New Roman" w:cs="Times New Roman"/>
        </w:rPr>
        <w:t>s</w:t>
      </w:r>
      <w:r w:rsidR="00343DE8" w:rsidRPr="00F4305F">
        <w:rPr>
          <w:rFonts w:ascii="Times New Roman" w:hAnsi="Times New Roman" w:cs="Times New Roman"/>
        </w:rPr>
        <w:t xml:space="preserve"> </w:t>
      </w:r>
      <w:r w:rsidR="00C87413">
        <w:rPr>
          <w:rFonts w:ascii="Times New Roman" w:hAnsi="Times New Roman" w:cs="Times New Roman"/>
        </w:rPr>
        <w:t xml:space="preserve">– </w:t>
      </w:r>
      <w:r w:rsidR="005A3F5A" w:rsidRPr="00C87413">
        <w:rPr>
          <w:rFonts w:ascii="Times New Roman" w:hAnsi="Times New Roman" w:cs="Times New Roman"/>
        </w:rPr>
        <w:t>des noyaux plus lourds que l’uranium produits par capture neutronique</w:t>
      </w:r>
      <w:r w:rsidR="00C87413">
        <w:rPr>
          <w:rFonts w:ascii="Times New Roman" w:hAnsi="Times New Roman" w:cs="Times New Roman"/>
        </w:rPr>
        <w:t xml:space="preserve"> – </w:t>
      </w:r>
      <w:r w:rsidR="00435370" w:rsidRPr="00F4305F">
        <w:rPr>
          <w:rFonts w:ascii="Times New Roman" w:hAnsi="Times New Roman" w:cs="Times New Roman"/>
        </w:rPr>
        <w:t xml:space="preserve">que les </w:t>
      </w:r>
      <w:r w:rsidR="00343DE8" w:rsidRPr="00F4305F">
        <w:rPr>
          <w:rFonts w:ascii="Times New Roman" w:hAnsi="Times New Roman" w:cs="Times New Roman"/>
        </w:rPr>
        <w:t>neutrons lents</w:t>
      </w:r>
      <w:r w:rsidR="00435370" w:rsidRPr="00F4305F">
        <w:rPr>
          <w:rFonts w:ascii="Times New Roman" w:hAnsi="Times New Roman" w:cs="Times New Roman"/>
        </w:rPr>
        <w:t xml:space="preserve"> ne </w:t>
      </w:r>
      <w:r w:rsidR="0044622A" w:rsidRPr="00F4305F">
        <w:rPr>
          <w:rFonts w:ascii="Times New Roman" w:hAnsi="Times New Roman" w:cs="Times New Roman"/>
        </w:rPr>
        <w:t>fissionnent pas</w:t>
      </w:r>
      <w:r w:rsidR="00343DE8" w:rsidRPr="00F4305F">
        <w:rPr>
          <w:rFonts w:ascii="Times New Roman" w:hAnsi="Times New Roman" w:cs="Times New Roman"/>
        </w:rPr>
        <w:t xml:space="preserve">. </w:t>
      </w:r>
      <w:r w:rsidR="00325AF8" w:rsidRPr="00F4305F">
        <w:rPr>
          <w:rFonts w:ascii="Times New Roman" w:hAnsi="Times New Roman" w:cs="Times New Roman"/>
        </w:rPr>
        <w:t>Le nucléaire actuel n’est donc pas durable au regard de l’économie de la ressource et, dans une moindre mesure</w:t>
      </w:r>
      <w:r w:rsidR="002F3216" w:rsidRPr="00F4305F">
        <w:rPr>
          <w:rFonts w:ascii="Times New Roman" w:hAnsi="Times New Roman" w:cs="Times New Roman"/>
        </w:rPr>
        <w:t xml:space="preserve">, </w:t>
      </w:r>
      <w:r w:rsidR="00325AF8" w:rsidRPr="00F4305F">
        <w:rPr>
          <w:rFonts w:ascii="Times New Roman" w:hAnsi="Times New Roman" w:cs="Times New Roman"/>
        </w:rPr>
        <w:t xml:space="preserve">de la production de déchets. </w:t>
      </w:r>
    </w:p>
    <w:p w14:paraId="60E6315F" w14:textId="5B55584E" w:rsidR="009E7829" w:rsidRPr="00F4305F" w:rsidRDefault="00C93FF0" w:rsidP="00394886">
      <w:pPr>
        <w:spacing w:after="0" w:line="360" w:lineRule="auto"/>
        <w:jc w:val="both"/>
        <w:rPr>
          <w:rFonts w:ascii="Times New Roman" w:hAnsi="Times New Roman" w:cs="Times New Roman"/>
        </w:rPr>
      </w:pPr>
      <w:r w:rsidRPr="00F4305F">
        <w:rPr>
          <w:rFonts w:ascii="Times New Roman" w:hAnsi="Times New Roman" w:cs="Times New Roman"/>
        </w:rPr>
        <w:lastRenderedPageBreak/>
        <w:t>L’</w:t>
      </w:r>
      <w:r w:rsidR="00F4305F" w:rsidRPr="00F4305F">
        <w:rPr>
          <w:rFonts w:ascii="Times New Roman" w:hAnsi="Times New Roman" w:cs="Times New Roman"/>
        </w:rPr>
        <w:t>U</w:t>
      </w:r>
      <w:r w:rsidR="00F4305F" w:rsidRPr="00F4305F">
        <w:rPr>
          <w:rFonts w:ascii="Times New Roman" w:hAnsi="Times New Roman" w:cs="Times New Roman"/>
          <w:vertAlign w:val="superscript"/>
        </w:rPr>
        <w:t xml:space="preserve">238 </w:t>
      </w:r>
      <w:r w:rsidRPr="00F4305F">
        <w:rPr>
          <w:rFonts w:ascii="Times New Roman" w:hAnsi="Times New Roman" w:cs="Times New Roman"/>
        </w:rPr>
        <w:t>résiste à la fission en raison de s</w:t>
      </w:r>
      <w:r w:rsidR="004A7CFC" w:rsidRPr="00F4305F">
        <w:rPr>
          <w:rFonts w:ascii="Times New Roman" w:hAnsi="Times New Roman" w:cs="Times New Roman"/>
        </w:rPr>
        <w:t xml:space="preserve">on nombre pair de </w:t>
      </w:r>
      <w:r w:rsidR="004A7CFC" w:rsidRPr="00C87413">
        <w:rPr>
          <w:rFonts w:ascii="Times New Roman" w:hAnsi="Times New Roman" w:cs="Times New Roman"/>
        </w:rPr>
        <w:t xml:space="preserve">nucléons </w:t>
      </w:r>
      <w:r w:rsidR="00C87413" w:rsidRPr="00C87413">
        <w:rPr>
          <w:rFonts w:ascii="Times New Roman" w:hAnsi="Times New Roman" w:cs="Times New Roman"/>
        </w:rPr>
        <w:t>– protons et neutrons composant le noyau</w:t>
      </w:r>
      <w:r w:rsidR="00C87413">
        <w:rPr>
          <w:sz w:val="18"/>
          <w:szCs w:val="18"/>
        </w:rPr>
        <w:t xml:space="preserve"> – </w:t>
      </w:r>
      <w:r w:rsidRPr="00F4305F">
        <w:rPr>
          <w:rFonts w:ascii="Times New Roman" w:hAnsi="Times New Roman" w:cs="Times New Roman"/>
        </w:rPr>
        <w:t xml:space="preserve">qui </w:t>
      </w:r>
      <w:r w:rsidR="004A7CFC" w:rsidRPr="00F4305F">
        <w:rPr>
          <w:rFonts w:ascii="Times New Roman" w:hAnsi="Times New Roman" w:cs="Times New Roman"/>
        </w:rPr>
        <w:t xml:space="preserve">lui </w:t>
      </w:r>
      <w:r w:rsidRPr="00F4305F">
        <w:rPr>
          <w:rFonts w:ascii="Times New Roman" w:hAnsi="Times New Roman" w:cs="Times New Roman"/>
        </w:rPr>
        <w:t xml:space="preserve">assure </w:t>
      </w:r>
      <w:r w:rsidR="004A7CFC" w:rsidRPr="00F4305F">
        <w:rPr>
          <w:rFonts w:ascii="Times New Roman" w:hAnsi="Times New Roman" w:cs="Times New Roman"/>
        </w:rPr>
        <w:t>une cohésion très forte</w:t>
      </w:r>
      <w:r w:rsidR="007270B4" w:rsidRPr="00F4305F">
        <w:rPr>
          <w:rFonts w:ascii="Times New Roman" w:hAnsi="Times New Roman" w:cs="Times New Roman"/>
        </w:rPr>
        <w:t>. Pour fissionner un tel noyau</w:t>
      </w:r>
      <w:r w:rsidR="00A374A3" w:rsidRPr="00F4305F">
        <w:rPr>
          <w:rFonts w:ascii="Times New Roman" w:hAnsi="Times New Roman" w:cs="Times New Roman"/>
        </w:rPr>
        <w:t xml:space="preserve">, </w:t>
      </w:r>
      <w:r w:rsidR="004434FC" w:rsidRPr="00F4305F">
        <w:rPr>
          <w:rFonts w:ascii="Times New Roman" w:hAnsi="Times New Roman" w:cs="Times New Roman"/>
        </w:rPr>
        <w:t xml:space="preserve">il est nécessaire de </w:t>
      </w:r>
      <w:r w:rsidR="009E7829" w:rsidRPr="00F4305F">
        <w:rPr>
          <w:rFonts w:ascii="Times New Roman" w:hAnsi="Times New Roman" w:cs="Times New Roman"/>
        </w:rPr>
        <w:t>disposer</w:t>
      </w:r>
      <w:r w:rsidR="00C6659C" w:rsidRPr="00F4305F">
        <w:rPr>
          <w:rFonts w:ascii="Times New Roman" w:hAnsi="Times New Roman" w:cs="Times New Roman"/>
        </w:rPr>
        <w:t xml:space="preserve"> de </w:t>
      </w:r>
      <w:r w:rsidR="004434FC" w:rsidRPr="00F4305F">
        <w:rPr>
          <w:rFonts w:ascii="Times New Roman" w:hAnsi="Times New Roman" w:cs="Times New Roman"/>
        </w:rPr>
        <w:t>neutrons rapides</w:t>
      </w:r>
      <w:r w:rsidR="00C6659C" w:rsidRPr="00F4305F">
        <w:rPr>
          <w:rStyle w:val="Appelnotedebasdep"/>
          <w:rFonts w:ascii="Times New Roman" w:hAnsi="Times New Roman" w:cs="Times New Roman"/>
          <w:highlight w:val="red"/>
        </w:rPr>
        <w:footnoteReference w:id="5"/>
      </w:r>
      <w:r w:rsidR="00C6659C" w:rsidRPr="00F4305F">
        <w:rPr>
          <w:rFonts w:ascii="Times New Roman" w:hAnsi="Times New Roman" w:cs="Times New Roman"/>
        </w:rPr>
        <w:t>.</w:t>
      </w:r>
      <w:r w:rsidR="00801101" w:rsidRPr="00F4305F">
        <w:rPr>
          <w:rFonts w:ascii="Times New Roman" w:hAnsi="Times New Roman" w:cs="Times New Roman"/>
        </w:rPr>
        <w:t xml:space="preserve"> </w:t>
      </w:r>
      <w:r w:rsidR="00ED5DDD" w:rsidRPr="00F4305F">
        <w:rPr>
          <w:rFonts w:ascii="Times New Roman" w:hAnsi="Times New Roman" w:cs="Times New Roman"/>
        </w:rPr>
        <w:t>Le réacteur à neutrons rapides (RNR) est donc l’outil incontournable du nucléaire durable</w:t>
      </w:r>
      <w:r w:rsidR="002F2211" w:rsidRPr="00F4305F">
        <w:rPr>
          <w:rFonts w:ascii="Times New Roman" w:hAnsi="Times New Roman" w:cs="Times New Roman"/>
        </w:rPr>
        <w:t>.</w:t>
      </w:r>
    </w:p>
    <w:p w14:paraId="0DE41308" w14:textId="77777777" w:rsidR="00394886" w:rsidRDefault="00394886" w:rsidP="00394886">
      <w:pPr>
        <w:spacing w:after="0" w:line="360" w:lineRule="auto"/>
        <w:jc w:val="both"/>
      </w:pPr>
    </w:p>
    <w:p w14:paraId="4B225FF6" w14:textId="1BA57D77" w:rsidR="00063F36" w:rsidRPr="00C87413" w:rsidRDefault="005732C0" w:rsidP="00394886">
      <w:pPr>
        <w:spacing w:after="0" w:line="360" w:lineRule="auto"/>
        <w:jc w:val="both"/>
        <w:rPr>
          <w:rFonts w:ascii="Times New Roman" w:hAnsi="Times New Roman" w:cs="Times New Roman"/>
          <w:b/>
          <w:bCs/>
          <w:iCs/>
        </w:rPr>
      </w:pPr>
      <w:r w:rsidRPr="00C87413">
        <w:rPr>
          <w:rFonts w:ascii="Times New Roman" w:hAnsi="Times New Roman" w:cs="Times New Roman"/>
          <w:b/>
          <w:bCs/>
          <w:iCs/>
        </w:rPr>
        <w:t>LE CHOC D’URANIUM À VENIR</w:t>
      </w:r>
    </w:p>
    <w:p w14:paraId="6B27B189" w14:textId="7B45BD8E" w:rsidR="00114906" w:rsidRPr="00BC5838" w:rsidRDefault="00C87413" w:rsidP="00A5408E">
      <w:pPr>
        <w:spacing w:after="0" w:line="360" w:lineRule="auto"/>
        <w:jc w:val="both"/>
        <w:rPr>
          <w:rFonts w:ascii="Times New Roman" w:hAnsi="Times New Roman" w:cs="Times New Roman"/>
        </w:rPr>
      </w:pPr>
      <w:r>
        <w:rPr>
          <w:rFonts w:ascii="Times New Roman" w:hAnsi="Times New Roman" w:cs="Times New Roman"/>
        </w:rPr>
        <w:t>Une crise de l</w:t>
      </w:r>
      <w:r w:rsidR="005D3DFC" w:rsidRPr="00C87413">
        <w:rPr>
          <w:rFonts w:ascii="Times New Roman" w:hAnsi="Times New Roman" w:cs="Times New Roman"/>
        </w:rPr>
        <w:t>’uranium à venir</w:t>
      </w:r>
      <w:r w:rsidR="005D3DFC" w:rsidRPr="00BC5838">
        <w:rPr>
          <w:rFonts w:ascii="Times New Roman" w:hAnsi="Times New Roman" w:cs="Times New Roman"/>
        </w:rPr>
        <w:t xml:space="preserve"> </w:t>
      </w:r>
      <w:r w:rsidR="00394886" w:rsidRPr="00BC5838">
        <w:rPr>
          <w:rFonts w:ascii="Times New Roman" w:hAnsi="Times New Roman" w:cs="Times New Roman"/>
        </w:rPr>
        <w:t xml:space="preserve">s’inscrit dans une </w:t>
      </w:r>
      <w:r w:rsidR="005D3DFC" w:rsidRPr="00BC5838">
        <w:rPr>
          <w:rFonts w:ascii="Times New Roman" w:hAnsi="Times New Roman" w:cs="Times New Roman"/>
        </w:rPr>
        <w:t>réalité géologique</w:t>
      </w:r>
      <w:r w:rsidR="00394886" w:rsidRPr="00BC5838">
        <w:rPr>
          <w:rFonts w:ascii="Times New Roman" w:hAnsi="Times New Roman" w:cs="Times New Roman"/>
        </w:rPr>
        <w:t xml:space="preserve">, indépendamment des questions de prix comme on le lit trop souvent. </w:t>
      </w:r>
      <w:r w:rsidR="00114906" w:rsidRPr="00BC5838">
        <w:rPr>
          <w:rFonts w:ascii="Times New Roman" w:hAnsi="Times New Roman" w:cs="Times New Roman"/>
        </w:rPr>
        <w:t>L’existence de gisements d’uranium est caractérisée par la présence d’éléments radioactifs en quantité significative. Cette radioactivité, qui impose des contraintes d’exploitation, est fort utile pour la prospection et l’évaluation des teneurs en uranium des minerais. Il en découle une certaine robustesse des données de prospection accumulées depuis des décennies dans le monde entier.</w:t>
      </w:r>
    </w:p>
    <w:p w14:paraId="1405307E" w14:textId="2FC74919" w:rsidR="00114906" w:rsidRPr="00BC5838" w:rsidRDefault="00114906" w:rsidP="00A5408E">
      <w:pPr>
        <w:autoSpaceDE w:val="0"/>
        <w:autoSpaceDN w:val="0"/>
        <w:adjustRightInd w:val="0"/>
        <w:spacing w:after="120" w:line="360" w:lineRule="auto"/>
        <w:jc w:val="both"/>
        <w:rPr>
          <w:rFonts w:ascii="Times New Roman" w:hAnsi="Times New Roman" w:cs="Times New Roman"/>
        </w:rPr>
      </w:pPr>
      <w:r w:rsidRPr="00BC5838">
        <w:rPr>
          <w:rFonts w:ascii="Times New Roman" w:hAnsi="Times New Roman" w:cs="Times New Roman"/>
        </w:rPr>
        <w:t xml:space="preserve">Le </w:t>
      </w:r>
      <w:r w:rsidRPr="00BC5838">
        <w:rPr>
          <w:rFonts w:ascii="Times New Roman" w:hAnsi="Times New Roman" w:cs="Times New Roman"/>
          <w:i/>
          <w:iCs/>
        </w:rPr>
        <w:t>Red Book</w:t>
      </w:r>
      <w:r w:rsidR="00E63755">
        <w:rPr>
          <w:rFonts w:ascii="Times New Roman" w:hAnsi="Times New Roman" w:cs="Times New Roman"/>
        </w:rPr>
        <w:t>, publication</w:t>
      </w:r>
      <w:r w:rsidRPr="00BC5838">
        <w:rPr>
          <w:rFonts w:ascii="Times New Roman" w:hAnsi="Times New Roman" w:cs="Times New Roman"/>
        </w:rPr>
        <w:t xml:space="preserve"> de référence internationale </w:t>
      </w:r>
      <w:r w:rsidR="00E63755">
        <w:rPr>
          <w:rFonts w:ascii="Times New Roman" w:hAnsi="Times New Roman" w:cs="Times New Roman"/>
        </w:rPr>
        <w:t xml:space="preserve">pour tout ce qui est </w:t>
      </w:r>
      <w:r w:rsidRPr="00BC5838">
        <w:rPr>
          <w:rFonts w:ascii="Times New Roman" w:hAnsi="Times New Roman" w:cs="Times New Roman"/>
        </w:rPr>
        <w:t>données concernant l’uranium, publié conjointement depuis 1965 par l’AIEA et l’AEN-OCDE</w:t>
      </w:r>
      <w:r w:rsidR="00E63755">
        <w:rPr>
          <w:rFonts w:ascii="Times New Roman" w:hAnsi="Times New Roman" w:cs="Times New Roman"/>
        </w:rPr>
        <w:t>,</w:t>
      </w:r>
      <w:r w:rsidR="00A5408E" w:rsidRPr="00BC5838">
        <w:rPr>
          <w:rFonts w:ascii="Times New Roman" w:hAnsi="Times New Roman" w:cs="Times New Roman"/>
        </w:rPr>
        <w:t xml:space="preserve"> </w:t>
      </w:r>
      <w:r w:rsidRPr="00BC5838">
        <w:rPr>
          <w:rFonts w:ascii="Times New Roman" w:hAnsi="Times New Roman" w:cs="Times New Roman"/>
        </w:rPr>
        <w:t>a</w:t>
      </w:r>
      <w:r w:rsidR="00E63755">
        <w:rPr>
          <w:rFonts w:ascii="Times New Roman" w:hAnsi="Times New Roman" w:cs="Times New Roman"/>
        </w:rPr>
        <w:t xml:space="preserve"> établi</w:t>
      </w:r>
      <w:r w:rsidRPr="00BC5838">
        <w:rPr>
          <w:rFonts w:ascii="Times New Roman" w:hAnsi="Times New Roman" w:cs="Times New Roman"/>
        </w:rPr>
        <w:t xml:space="preserve"> </w:t>
      </w:r>
      <w:r w:rsidR="00E63755">
        <w:rPr>
          <w:rFonts w:ascii="Times New Roman" w:hAnsi="Times New Roman" w:cs="Times New Roman"/>
        </w:rPr>
        <w:t xml:space="preserve">une </w:t>
      </w:r>
      <w:r w:rsidRPr="00BC5838">
        <w:rPr>
          <w:rFonts w:ascii="Times New Roman" w:hAnsi="Times New Roman" w:cs="Times New Roman"/>
        </w:rPr>
        <w:t xml:space="preserve">typologie des ressources </w:t>
      </w:r>
      <w:r w:rsidR="00112719" w:rsidRPr="00BC5838">
        <w:rPr>
          <w:rFonts w:ascii="Times New Roman" w:hAnsi="Times New Roman" w:cs="Times New Roman"/>
        </w:rPr>
        <w:t xml:space="preserve">qui </w:t>
      </w:r>
      <w:r w:rsidRPr="00BC5838">
        <w:rPr>
          <w:rFonts w:ascii="Times New Roman" w:hAnsi="Times New Roman" w:cs="Times New Roman"/>
        </w:rPr>
        <w:t>reflète le degré de récupérabilité de l’uranium</w:t>
      </w:r>
      <w:r w:rsidR="00E63755">
        <w:rPr>
          <w:rFonts w:ascii="Times New Roman" w:hAnsi="Times New Roman" w:cs="Times New Roman"/>
        </w:rPr>
        <w:t>. On distingue </w:t>
      </w:r>
      <w:r w:rsidRPr="00BC5838">
        <w:rPr>
          <w:rFonts w:ascii="Times New Roman" w:hAnsi="Times New Roman" w:cs="Times New Roman"/>
        </w:rPr>
        <w:t>:</w:t>
      </w:r>
    </w:p>
    <w:p w14:paraId="2621FEF5" w14:textId="37A3D201" w:rsidR="00114906" w:rsidRPr="00BC5838" w:rsidRDefault="00BC5838" w:rsidP="00BC5838">
      <w:pPr>
        <w:spacing w:after="120" w:line="360" w:lineRule="auto"/>
        <w:jc w:val="both"/>
        <w:rPr>
          <w:rFonts w:ascii="Times New Roman" w:hAnsi="Times New Roman" w:cs="Times New Roman"/>
          <w:i/>
          <w:iCs/>
        </w:rPr>
      </w:pPr>
      <w:r w:rsidRPr="00BC5838">
        <w:rPr>
          <w:rFonts w:ascii="Times New Roman" w:hAnsi="Times New Roman" w:cs="Times New Roman"/>
        </w:rPr>
        <w:t>– </w:t>
      </w:r>
      <w:r w:rsidR="00CB0156" w:rsidRPr="00BC5838">
        <w:rPr>
          <w:rFonts w:ascii="Times New Roman" w:hAnsi="Times New Roman" w:cs="Times New Roman"/>
        </w:rPr>
        <w:t>l</w:t>
      </w:r>
      <w:r w:rsidR="00114906" w:rsidRPr="00BC5838">
        <w:rPr>
          <w:rFonts w:ascii="Times New Roman" w:hAnsi="Times New Roman" w:cs="Times New Roman"/>
        </w:rPr>
        <w:t xml:space="preserve">es ressources </w:t>
      </w:r>
      <w:r w:rsidR="00114906" w:rsidRPr="00BC5838">
        <w:rPr>
          <w:rFonts w:ascii="Times New Roman" w:hAnsi="Times New Roman" w:cs="Times New Roman"/>
          <w:i/>
          <w:iCs/>
        </w:rPr>
        <w:t xml:space="preserve">identifiées </w:t>
      </w:r>
      <w:r w:rsidR="00CB0156" w:rsidRPr="00BC5838">
        <w:rPr>
          <w:rFonts w:ascii="Times New Roman" w:hAnsi="Times New Roman" w:cs="Times New Roman"/>
        </w:rPr>
        <w:t>comprenant l</w:t>
      </w:r>
      <w:r w:rsidR="00114906" w:rsidRPr="00BC5838">
        <w:rPr>
          <w:rFonts w:ascii="Times New Roman" w:hAnsi="Times New Roman" w:cs="Times New Roman"/>
        </w:rPr>
        <w:t>es ressources assurées d’extraction et des ressources inférées, nécessitant des investigations supplémentaires</w:t>
      </w:r>
      <w:r w:rsidR="00273760" w:rsidRPr="00BC5838">
        <w:rPr>
          <w:rFonts w:ascii="Times New Roman" w:hAnsi="Times New Roman" w:cs="Times New Roman"/>
        </w:rPr>
        <w:t> ;</w:t>
      </w:r>
    </w:p>
    <w:p w14:paraId="013EC4CA" w14:textId="63A22C56" w:rsidR="00114906" w:rsidRPr="00BC5838" w:rsidRDefault="00BC5838" w:rsidP="00BC5838">
      <w:pPr>
        <w:spacing w:after="120" w:line="360" w:lineRule="auto"/>
        <w:jc w:val="both"/>
        <w:rPr>
          <w:rFonts w:ascii="Times New Roman" w:hAnsi="Times New Roman" w:cs="Times New Roman"/>
        </w:rPr>
      </w:pPr>
      <w:r w:rsidRPr="00BC5838">
        <w:rPr>
          <w:rFonts w:ascii="Times New Roman" w:hAnsi="Times New Roman" w:cs="Times New Roman"/>
        </w:rPr>
        <w:t>– </w:t>
      </w:r>
      <w:r w:rsidR="00CB0156" w:rsidRPr="00BC5838">
        <w:rPr>
          <w:rFonts w:ascii="Times New Roman" w:hAnsi="Times New Roman" w:cs="Times New Roman"/>
        </w:rPr>
        <w:t>l</w:t>
      </w:r>
      <w:r w:rsidR="00114906" w:rsidRPr="00BC5838">
        <w:rPr>
          <w:rFonts w:ascii="Times New Roman" w:hAnsi="Times New Roman" w:cs="Times New Roman"/>
        </w:rPr>
        <w:t xml:space="preserve">es ressources </w:t>
      </w:r>
      <w:r w:rsidR="00114906" w:rsidRPr="00BC5838">
        <w:rPr>
          <w:rFonts w:ascii="Times New Roman" w:hAnsi="Times New Roman" w:cs="Times New Roman"/>
          <w:i/>
          <w:iCs/>
        </w:rPr>
        <w:t>non</w:t>
      </w:r>
      <w:r w:rsidR="00DF039A" w:rsidRPr="00BC5838">
        <w:rPr>
          <w:rFonts w:ascii="Times New Roman" w:hAnsi="Times New Roman" w:cs="Times New Roman"/>
          <w:i/>
          <w:iCs/>
        </w:rPr>
        <w:t xml:space="preserve"> </w:t>
      </w:r>
      <w:r w:rsidR="00114906" w:rsidRPr="00BC5838">
        <w:rPr>
          <w:rFonts w:ascii="Times New Roman" w:hAnsi="Times New Roman" w:cs="Times New Roman"/>
          <w:i/>
          <w:iCs/>
        </w:rPr>
        <w:t>découvertes</w:t>
      </w:r>
      <w:r w:rsidR="00114906" w:rsidRPr="00BC5838">
        <w:rPr>
          <w:rFonts w:ascii="Times New Roman" w:hAnsi="Times New Roman" w:cs="Times New Roman"/>
        </w:rPr>
        <w:t xml:space="preserve"> </w:t>
      </w:r>
      <w:r w:rsidR="00DE3728" w:rsidRPr="00BC5838">
        <w:rPr>
          <w:rFonts w:ascii="Times New Roman" w:hAnsi="Times New Roman" w:cs="Times New Roman"/>
        </w:rPr>
        <w:t>qui sont</w:t>
      </w:r>
      <w:r w:rsidR="00114906" w:rsidRPr="00BC5838">
        <w:rPr>
          <w:rFonts w:ascii="Times New Roman" w:hAnsi="Times New Roman" w:cs="Times New Roman"/>
        </w:rPr>
        <w:t xml:space="preserve"> présumée</w:t>
      </w:r>
      <w:r w:rsidR="00DE3728" w:rsidRPr="00BC5838">
        <w:rPr>
          <w:rFonts w:ascii="Times New Roman" w:hAnsi="Times New Roman" w:cs="Times New Roman"/>
        </w:rPr>
        <w:t>s</w:t>
      </w:r>
      <w:r w:rsidR="00114906" w:rsidRPr="00BC5838">
        <w:rPr>
          <w:rFonts w:ascii="Times New Roman" w:hAnsi="Times New Roman" w:cs="Times New Roman"/>
        </w:rPr>
        <w:t xml:space="preserve"> par le raisonnement géologique</w:t>
      </w:r>
      <w:r w:rsidR="00DF039A" w:rsidRPr="00BC5838">
        <w:rPr>
          <w:rFonts w:ascii="Times New Roman" w:hAnsi="Times New Roman" w:cs="Times New Roman"/>
        </w:rPr>
        <w:t xml:space="preserve">, </w:t>
      </w:r>
      <w:r w:rsidR="004460CE" w:rsidRPr="00BC5838">
        <w:rPr>
          <w:rFonts w:ascii="Times New Roman" w:hAnsi="Times New Roman" w:cs="Times New Roman"/>
        </w:rPr>
        <w:t xml:space="preserve">mais </w:t>
      </w:r>
      <w:r w:rsidR="00114906" w:rsidRPr="00BC5838">
        <w:rPr>
          <w:rFonts w:ascii="Times New Roman" w:hAnsi="Times New Roman" w:cs="Times New Roman"/>
        </w:rPr>
        <w:t xml:space="preserve">nécessiteraient des explorations de grande ampleur pour </w:t>
      </w:r>
      <w:r w:rsidR="00F81531" w:rsidRPr="00BC5838">
        <w:rPr>
          <w:rFonts w:ascii="Times New Roman" w:hAnsi="Times New Roman" w:cs="Times New Roman"/>
        </w:rPr>
        <w:t xml:space="preserve">en </w:t>
      </w:r>
      <w:r w:rsidR="00114906" w:rsidRPr="00BC5838">
        <w:rPr>
          <w:rFonts w:ascii="Times New Roman" w:hAnsi="Times New Roman" w:cs="Times New Roman"/>
        </w:rPr>
        <w:t>confirmer l</w:t>
      </w:r>
      <w:r w:rsidR="00F81531" w:rsidRPr="00BC5838">
        <w:rPr>
          <w:rFonts w:ascii="Times New Roman" w:hAnsi="Times New Roman" w:cs="Times New Roman"/>
        </w:rPr>
        <w:t>’</w:t>
      </w:r>
      <w:r w:rsidR="00114906" w:rsidRPr="00BC5838">
        <w:rPr>
          <w:rFonts w:ascii="Times New Roman" w:hAnsi="Times New Roman" w:cs="Times New Roman"/>
        </w:rPr>
        <w:t>existence</w:t>
      </w:r>
      <w:r w:rsidR="00273760" w:rsidRPr="00BC5838">
        <w:rPr>
          <w:rFonts w:ascii="Times New Roman" w:hAnsi="Times New Roman" w:cs="Times New Roman"/>
        </w:rPr>
        <w:t xml:space="preserve"> et</w:t>
      </w:r>
      <w:r w:rsidR="00114906" w:rsidRPr="00BC5838">
        <w:rPr>
          <w:rFonts w:ascii="Times New Roman" w:hAnsi="Times New Roman" w:cs="Times New Roman"/>
        </w:rPr>
        <w:t xml:space="preserve"> l</w:t>
      </w:r>
      <w:r w:rsidR="00F81531" w:rsidRPr="00BC5838">
        <w:rPr>
          <w:rFonts w:ascii="Times New Roman" w:hAnsi="Times New Roman" w:cs="Times New Roman"/>
        </w:rPr>
        <w:t>a</w:t>
      </w:r>
      <w:r w:rsidR="00114906" w:rsidRPr="00BC5838">
        <w:rPr>
          <w:rFonts w:ascii="Times New Roman" w:hAnsi="Times New Roman" w:cs="Times New Roman"/>
        </w:rPr>
        <w:t xml:space="preserve"> teneur potentielle</w:t>
      </w:r>
      <w:r w:rsidR="00273760" w:rsidRPr="00BC5838">
        <w:rPr>
          <w:rFonts w:ascii="Times New Roman" w:hAnsi="Times New Roman" w:cs="Times New Roman"/>
        </w:rPr>
        <w:t> ;</w:t>
      </w:r>
    </w:p>
    <w:p w14:paraId="6C38F8B6" w14:textId="7CBDA9E5" w:rsidR="00C1546F" w:rsidRPr="00BC5838" w:rsidRDefault="00BC5838" w:rsidP="00BC5838">
      <w:pPr>
        <w:autoSpaceDE w:val="0"/>
        <w:autoSpaceDN w:val="0"/>
        <w:adjustRightInd w:val="0"/>
        <w:spacing w:after="120" w:line="360" w:lineRule="auto"/>
        <w:jc w:val="both"/>
        <w:rPr>
          <w:rFonts w:ascii="Times New Roman" w:hAnsi="Times New Roman" w:cs="Times New Roman"/>
        </w:rPr>
      </w:pPr>
      <w:r w:rsidRPr="00BC5838">
        <w:rPr>
          <w:rFonts w:ascii="Times New Roman" w:hAnsi="Times New Roman" w:cs="Times New Roman"/>
        </w:rPr>
        <w:t>– </w:t>
      </w:r>
      <w:r w:rsidR="00273760" w:rsidRPr="00BC5838">
        <w:rPr>
          <w:rFonts w:ascii="Times New Roman" w:hAnsi="Times New Roman" w:cs="Times New Roman"/>
        </w:rPr>
        <w:t>l</w:t>
      </w:r>
      <w:r w:rsidR="00114906" w:rsidRPr="00BC5838">
        <w:rPr>
          <w:rFonts w:ascii="Times New Roman" w:hAnsi="Times New Roman" w:cs="Times New Roman"/>
        </w:rPr>
        <w:t xml:space="preserve">es ressources </w:t>
      </w:r>
      <w:r w:rsidR="00114906" w:rsidRPr="00BC5838">
        <w:rPr>
          <w:rFonts w:ascii="Times New Roman" w:hAnsi="Times New Roman" w:cs="Times New Roman"/>
          <w:i/>
          <w:iCs/>
        </w:rPr>
        <w:t>non</w:t>
      </w:r>
      <w:r w:rsidR="00273760" w:rsidRPr="00BC5838">
        <w:rPr>
          <w:rFonts w:ascii="Times New Roman" w:hAnsi="Times New Roman" w:cs="Times New Roman"/>
          <w:i/>
          <w:iCs/>
        </w:rPr>
        <w:t xml:space="preserve"> </w:t>
      </w:r>
      <w:r w:rsidR="00114906" w:rsidRPr="00BC5838">
        <w:rPr>
          <w:rFonts w:ascii="Times New Roman" w:hAnsi="Times New Roman" w:cs="Times New Roman"/>
          <w:i/>
          <w:iCs/>
        </w:rPr>
        <w:t xml:space="preserve">conventionnelles </w:t>
      </w:r>
      <w:r w:rsidRPr="00BC5838">
        <w:rPr>
          <w:rFonts w:ascii="Times New Roman" w:hAnsi="Times New Roman" w:cs="Times New Roman"/>
        </w:rPr>
        <w:t>pouvant</w:t>
      </w:r>
      <w:r w:rsidR="00114906" w:rsidRPr="00BC5838">
        <w:rPr>
          <w:rFonts w:ascii="Times New Roman" w:hAnsi="Times New Roman" w:cs="Times New Roman"/>
        </w:rPr>
        <w:t xml:space="preserve"> d’exister dans certaines roches à très basses teneurs en uranium (phosphates, schistes, charbons, granites</w:t>
      </w:r>
      <w:r w:rsidR="00C1546F" w:rsidRPr="00BC5838">
        <w:rPr>
          <w:rFonts w:ascii="Times New Roman" w:hAnsi="Times New Roman" w:cs="Times New Roman"/>
        </w:rPr>
        <w:t>)</w:t>
      </w:r>
      <w:r w:rsidR="00114906" w:rsidRPr="00BC5838">
        <w:rPr>
          <w:rFonts w:ascii="Times New Roman" w:hAnsi="Times New Roman" w:cs="Times New Roman"/>
        </w:rPr>
        <w:t>.</w:t>
      </w:r>
    </w:p>
    <w:p w14:paraId="2B108EE4" w14:textId="6530B849" w:rsidR="00061DB8" w:rsidRPr="00B73DED" w:rsidRDefault="002C10D5" w:rsidP="00A917E9">
      <w:pPr>
        <w:autoSpaceDE w:val="0"/>
        <w:autoSpaceDN w:val="0"/>
        <w:adjustRightInd w:val="0"/>
        <w:spacing w:after="120" w:line="360" w:lineRule="auto"/>
        <w:jc w:val="both"/>
        <w:rPr>
          <w:rFonts w:ascii="Times New Roman" w:hAnsi="Times New Roman" w:cs="Times New Roman"/>
        </w:rPr>
      </w:pPr>
      <w:r w:rsidRPr="00061DB8">
        <w:rPr>
          <w:rFonts w:ascii="Times New Roman" w:hAnsi="Times New Roman" w:cs="Times New Roman"/>
          <w:color w:val="002060"/>
          <w:sz w:val="24"/>
          <w:szCs w:val="24"/>
        </w:rPr>
        <w:t>E</w:t>
      </w:r>
      <w:r w:rsidR="00114906" w:rsidRPr="00061DB8">
        <w:rPr>
          <w:rFonts w:ascii="Times New Roman" w:hAnsi="Times New Roman" w:cs="Times New Roman"/>
        </w:rPr>
        <w:t>n 2022</w:t>
      </w:r>
      <w:r w:rsidR="00061DB8" w:rsidRPr="00061DB8">
        <w:rPr>
          <w:rFonts w:ascii="Times New Roman" w:hAnsi="Times New Roman" w:cs="Times New Roman"/>
        </w:rPr>
        <w:t>,</w:t>
      </w:r>
      <w:r w:rsidR="00114906" w:rsidRPr="00061DB8">
        <w:rPr>
          <w:rFonts w:ascii="Times New Roman" w:hAnsi="Times New Roman" w:cs="Times New Roman"/>
        </w:rPr>
        <w:t xml:space="preserve"> le </w:t>
      </w:r>
      <w:r w:rsidR="00610FCB" w:rsidRPr="00061DB8">
        <w:rPr>
          <w:rFonts w:ascii="Times New Roman" w:hAnsi="Times New Roman" w:cs="Times New Roman"/>
          <w:i/>
          <w:iCs/>
        </w:rPr>
        <w:t>Red Book</w:t>
      </w:r>
      <w:r w:rsidR="00610FCB" w:rsidRPr="00061DB8">
        <w:rPr>
          <w:rFonts w:ascii="Times New Roman" w:hAnsi="Times New Roman" w:cs="Times New Roman"/>
        </w:rPr>
        <w:t xml:space="preserve"> </w:t>
      </w:r>
      <w:r w:rsidR="00114906" w:rsidRPr="00061DB8">
        <w:rPr>
          <w:rFonts w:ascii="Times New Roman" w:hAnsi="Times New Roman" w:cs="Times New Roman"/>
        </w:rPr>
        <w:t>estime les ressources identifiées à environ 7,9</w:t>
      </w:r>
      <w:r w:rsidR="005732C0" w:rsidRPr="00061DB8">
        <w:rPr>
          <w:rFonts w:ascii="Times New Roman" w:hAnsi="Times New Roman" w:cs="Times New Roman"/>
        </w:rPr>
        <w:t> M</w:t>
      </w:r>
      <w:r w:rsidR="00114906" w:rsidRPr="00061DB8">
        <w:rPr>
          <w:rFonts w:ascii="Times New Roman" w:hAnsi="Times New Roman" w:cs="Times New Roman"/>
        </w:rPr>
        <w:t>t</w:t>
      </w:r>
      <w:r w:rsidR="00FB0151" w:rsidRPr="00061DB8">
        <w:rPr>
          <w:rFonts w:ascii="Times New Roman" w:hAnsi="Times New Roman" w:cs="Times New Roman"/>
        </w:rPr>
        <w:t xml:space="preserve">. </w:t>
      </w:r>
      <w:r w:rsidR="00A917E9" w:rsidRPr="00061DB8">
        <w:rPr>
          <w:rFonts w:ascii="Times New Roman" w:hAnsi="Times New Roman" w:cs="Times New Roman"/>
        </w:rPr>
        <w:t xml:space="preserve">La </w:t>
      </w:r>
      <w:r w:rsidR="00114906" w:rsidRPr="00061DB8">
        <w:rPr>
          <w:rFonts w:ascii="Times New Roman" w:hAnsi="Times New Roman" w:cs="Times New Roman"/>
        </w:rPr>
        <w:t>somme des ressources identifiées et des ressources non</w:t>
      </w:r>
      <w:r w:rsidR="00A917E9" w:rsidRPr="00061DB8">
        <w:rPr>
          <w:rFonts w:ascii="Times New Roman" w:hAnsi="Times New Roman" w:cs="Times New Roman"/>
        </w:rPr>
        <w:t xml:space="preserve"> </w:t>
      </w:r>
      <w:r w:rsidR="00BC5838" w:rsidRPr="00061DB8">
        <w:rPr>
          <w:rFonts w:ascii="Times New Roman" w:hAnsi="Times New Roman" w:cs="Times New Roman"/>
        </w:rPr>
        <w:t>découvertes reste quasi</w:t>
      </w:r>
      <w:r w:rsidR="00114906" w:rsidRPr="00061DB8">
        <w:rPr>
          <w:rFonts w:ascii="Times New Roman" w:hAnsi="Times New Roman" w:cs="Times New Roman"/>
        </w:rPr>
        <w:t xml:space="preserve"> constante autour de la valeur de 16</w:t>
      </w:r>
      <w:r w:rsidR="005732C0" w:rsidRPr="00061DB8">
        <w:rPr>
          <w:rFonts w:ascii="Times New Roman" w:hAnsi="Times New Roman" w:cs="Times New Roman"/>
        </w:rPr>
        <w:t> M</w:t>
      </w:r>
      <w:r w:rsidR="00114906" w:rsidRPr="00061DB8">
        <w:rPr>
          <w:rFonts w:ascii="Times New Roman" w:hAnsi="Times New Roman" w:cs="Times New Roman"/>
        </w:rPr>
        <w:t>t (</w:t>
      </w:r>
      <w:r w:rsidR="00BC5838" w:rsidRPr="00061DB8">
        <w:rPr>
          <w:rFonts w:ascii="Times New Roman" w:hAnsi="Times New Roman" w:cs="Times New Roman"/>
        </w:rPr>
        <w:t>± </w:t>
      </w:r>
      <w:r w:rsidR="00114906" w:rsidRPr="00061DB8">
        <w:rPr>
          <w:rFonts w:ascii="Times New Roman" w:hAnsi="Times New Roman" w:cs="Times New Roman"/>
        </w:rPr>
        <w:t>2</w:t>
      </w:r>
      <w:r w:rsidR="005732C0" w:rsidRPr="00061DB8">
        <w:rPr>
          <w:rFonts w:ascii="Times New Roman" w:hAnsi="Times New Roman" w:cs="Times New Roman"/>
        </w:rPr>
        <w:t> M</w:t>
      </w:r>
      <w:r w:rsidR="00114906" w:rsidRPr="00061DB8">
        <w:rPr>
          <w:rFonts w:ascii="Times New Roman" w:hAnsi="Times New Roman" w:cs="Times New Roman"/>
        </w:rPr>
        <w:t>t</w:t>
      </w:r>
      <w:r w:rsidR="00EB74A9" w:rsidRPr="00061DB8">
        <w:rPr>
          <w:rFonts w:ascii="Times New Roman" w:hAnsi="Times New Roman" w:cs="Times New Roman"/>
        </w:rPr>
        <w:t xml:space="preserve">), </w:t>
      </w:r>
      <w:r w:rsidR="004460CE" w:rsidRPr="00061DB8">
        <w:rPr>
          <w:rFonts w:ascii="Times New Roman" w:hAnsi="Times New Roman" w:cs="Times New Roman"/>
        </w:rPr>
        <w:t>en dépit d’</w:t>
      </w:r>
      <w:r w:rsidR="00114906" w:rsidRPr="00061DB8">
        <w:rPr>
          <w:rFonts w:ascii="Times New Roman" w:hAnsi="Times New Roman" w:cs="Times New Roman"/>
        </w:rPr>
        <w:t>investissements massifs d’exploration et de développement de mines entre 2006</w:t>
      </w:r>
      <w:r w:rsidR="00114906" w:rsidRPr="002C10D5">
        <w:t xml:space="preserve"> </w:t>
      </w:r>
      <w:r w:rsidR="00114906" w:rsidRPr="00E63755">
        <w:rPr>
          <w:rFonts w:ascii="Times New Roman" w:hAnsi="Times New Roman" w:cs="Times New Roman"/>
        </w:rPr>
        <w:t>et 2015</w:t>
      </w:r>
      <w:r w:rsidR="00442C08" w:rsidRPr="002B70FC">
        <w:rPr>
          <w:rStyle w:val="Appelnotedebasdep"/>
          <w:rFonts w:ascii="Times New Roman" w:hAnsi="Times New Roman" w:cs="Times New Roman"/>
          <w:highlight w:val="red"/>
        </w:rPr>
        <w:footnoteReference w:id="6"/>
      </w:r>
      <w:r w:rsidR="00B634BF">
        <w:t xml:space="preserve"> </w:t>
      </w:r>
      <w:r w:rsidR="00EB74A9" w:rsidRPr="00B73DED">
        <w:rPr>
          <w:rFonts w:ascii="Times New Roman" w:hAnsi="Times New Roman" w:cs="Times New Roman"/>
          <w:i/>
        </w:rPr>
        <w:t>(</w:t>
      </w:r>
      <w:r w:rsidR="00061DB8" w:rsidRPr="00481AD5">
        <w:rPr>
          <w:rFonts w:ascii="Times New Roman" w:hAnsi="Times New Roman" w:cs="Times New Roman"/>
          <w:i/>
          <w:highlight w:val="cyan"/>
        </w:rPr>
        <w:t>fig. </w:t>
      </w:r>
      <w:r w:rsidR="00EB74A9" w:rsidRPr="00481AD5">
        <w:rPr>
          <w:rFonts w:ascii="Times New Roman" w:hAnsi="Times New Roman" w:cs="Times New Roman"/>
          <w:i/>
          <w:highlight w:val="cyan"/>
        </w:rPr>
        <w:t>2</w:t>
      </w:r>
      <w:r w:rsidR="00EB74A9" w:rsidRPr="00B73DED">
        <w:rPr>
          <w:rFonts w:ascii="Times New Roman" w:hAnsi="Times New Roman" w:cs="Times New Roman"/>
          <w:i/>
        </w:rPr>
        <w:t>)</w:t>
      </w:r>
      <w:r w:rsidR="00B634BF" w:rsidRPr="00B73DED">
        <w:rPr>
          <w:rFonts w:ascii="Times New Roman" w:hAnsi="Times New Roman" w:cs="Times New Roman"/>
        </w:rPr>
        <w:t>.</w:t>
      </w:r>
      <w:r w:rsidR="00FB0151" w:rsidRPr="00B73DED">
        <w:rPr>
          <w:rFonts w:ascii="Times New Roman" w:hAnsi="Times New Roman" w:cs="Times New Roman"/>
        </w:rPr>
        <w:t xml:space="preserve"> </w:t>
      </w:r>
      <w:r w:rsidR="00D65062" w:rsidRPr="00B73DED">
        <w:rPr>
          <w:rFonts w:ascii="Times New Roman" w:hAnsi="Times New Roman" w:cs="Times New Roman"/>
        </w:rPr>
        <w:t>L</w:t>
      </w:r>
      <w:r w:rsidR="00FB0151" w:rsidRPr="00B73DED">
        <w:rPr>
          <w:rFonts w:ascii="Times New Roman" w:hAnsi="Times New Roman" w:cs="Times New Roman"/>
        </w:rPr>
        <w:t xml:space="preserve">es ressources non conventionnelles seraient comprises entre 39 </w:t>
      </w:r>
      <w:r w:rsidR="0069561F" w:rsidRPr="00B73DED">
        <w:rPr>
          <w:rFonts w:ascii="Times New Roman" w:hAnsi="Times New Roman" w:cs="Times New Roman"/>
        </w:rPr>
        <w:t>et</w:t>
      </w:r>
      <w:r w:rsidR="00FB0151" w:rsidRPr="00B73DED">
        <w:rPr>
          <w:rFonts w:ascii="Times New Roman" w:hAnsi="Times New Roman" w:cs="Times New Roman"/>
        </w:rPr>
        <w:t xml:space="preserve"> 57</w:t>
      </w:r>
      <w:r w:rsidR="005732C0" w:rsidRPr="00B73DED">
        <w:rPr>
          <w:rFonts w:ascii="Times New Roman" w:hAnsi="Times New Roman" w:cs="Times New Roman"/>
        </w:rPr>
        <w:t> M</w:t>
      </w:r>
      <w:r w:rsidR="00FB0151" w:rsidRPr="00B73DED">
        <w:rPr>
          <w:rFonts w:ascii="Times New Roman" w:hAnsi="Times New Roman" w:cs="Times New Roman"/>
        </w:rPr>
        <w:t>t.</w:t>
      </w:r>
    </w:p>
    <w:p w14:paraId="20D94153" w14:textId="44B27523" w:rsidR="00114906" w:rsidRDefault="00B73DED" w:rsidP="00114906">
      <w:pPr>
        <w:spacing w:after="120" w:line="360" w:lineRule="auto"/>
        <w:jc w:val="both"/>
      </w:pPr>
      <w:r>
        <w:rPr>
          <w:noProof/>
          <w:lang w:eastAsia="fr-FR"/>
        </w:rPr>
        <w:lastRenderedPageBreak/>
        <w:drawing>
          <wp:anchor distT="0" distB="0" distL="114300" distR="114300" simplePos="0" relativeHeight="251659264" behindDoc="0" locked="0" layoutInCell="1" allowOverlap="1" wp14:anchorId="6A12FCE5" wp14:editId="76C558C0">
            <wp:simplePos x="0" y="0"/>
            <wp:positionH relativeFrom="margin">
              <wp:posOffset>1905</wp:posOffset>
            </wp:positionH>
            <wp:positionV relativeFrom="paragraph">
              <wp:posOffset>255905</wp:posOffset>
            </wp:positionV>
            <wp:extent cx="3911600" cy="3562350"/>
            <wp:effectExtent l="0" t="0" r="12700" b="0"/>
            <wp:wrapSquare wrapText="bothSides"/>
            <wp:docPr id="1726070505" name="Graphique 1">
              <a:extLst xmlns:a="http://schemas.openxmlformats.org/drawingml/2006/main">
                <a:ext uri="{FF2B5EF4-FFF2-40B4-BE49-F238E27FC236}">
                  <a16:creationId xmlns:a16="http://schemas.microsoft.com/office/drawing/2014/main" id="{5902F22B-4942-115D-4DC5-365DB06F01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9ABD7EE" w14:textId="7EC82813" w:rsidR="00114906" w:rsidRPr="00A5408E" w:rsidRDefault="00114906" w:rsidP="002B70FC">
      <w:pPr>
        <w:spacing w:after="120" w:line="360" w:lineRule="auto"/>
      </w:pPr>
      <w:r w:rsidRPr="00AF09B7">
        <w:rPr>
          <w:b/>
          <w:i/>
        </w:rPr>
        <w:t>Figure 2 </w:t>
      </w:r>
      <w:r w:rsidR="000576DE" w:rsidRPr="00AF09B7">
        <w:rPr>
          <w:b/>
          <w:i/>
        </w:rPr>
        <w:t>–</w:t>
      </w:r>
      <w:r w:rsidRPr="00A5408E">
        <w:t xml:space="preserve"> </w:t>
      </w:r>
      <w:r w:rsidR="00B73DED">
        <w:t>É</w:t>
      </w:r>
      <w:r w:rsidRPr="00A5408E">
        <w:t>volution des</w:t>
      </w:r>
      <w:r w:rsidR="00A5408E">
        <w:t xml:space="preserve"> </w:t>
      </w:r>
      <w:r w:rsidRPr="00A5408E">
        <w:t xml:space="preserve">ressources </w:t>
      </w:r>
      <w:r w:rsidR="00DF11BC">
        <w:t xml:space="preserve">mondiales </w:t>
      </w:r>
      <w:r w:rsidRPr="00A5408E">
        <w:t>d’uranium de 1997 à 202</w:t>
      </w:r>
      <w:r w:rsidR="007F5FB0">
        <w:t>1</w:t>
      </w:r>
    </w:p>
    <w:p w14:paraId="1B691A41" w14:textId="5E4D3405" w:rsidR="004253C9" w:rsidRDefault="00AF09B7" w:rsidP="00114906">
      <w:pPr>
        <w:spacing w:after="120" w:line="360" w:lineRule="auto"/>
        <w:jc w:val="both"/>
      </w:pPr>
      <w:r w:rsidRPr="00AF09B7">
        <w:rPr>
          <w:color w:val="FF0000"/>
        </w:rPr>
        <w:t>(((((</w:t>
      </w:r>
      <w:proofErr w:type="spellStart"/>
      <w:r w:rsidRPr="00AF09B7">
        <w:rPr>
          <w:color w:val="FF0000"/>
        </w:rPr>
        <w:t>Frédo</w:t>
      </w:r>
      <w:proofErr w:type="spellEnd"/>
      <w:r w:rsidRPr="00AF09B7">
        <w:rPr>
          <w:color w:val="FF0000"/>
        </w:rPr>
        <w:t>, le texte ci-dessus remplace ce qui apparaît comme titre du graphique.)))))</w:t>
      </w:r>
    </w:p>
    <w:p w14:paraId="6BDF5FCB" w14:textId="77777777" w:rsidR="002B70FC" w:rsidRDefault="002B70FC" w:rsidP="00114906">
      <w:pPr>
        <w:spacing w:after="120" w:line="360" w:lineRule="auto"/>
        <w:jc w:val="both"/>
      </w:pPr>
    </w:p>
    <w:p w14:paraId="3E76519B" w14:textId="77777777" w:rsidR="00B73DED" w:rsidRDefault="00B73DED" w:rsidP="00114906">
      <w:pPr>
        <w:spacing w:after="120" w:line="360" w:lineRule="auto"/>
        <w:jc w:val="both"/>
      </w:pPr>
    </w:p>
    <w:p w14:paraId="7393934F" w14:textId="77777777" w:rsidR="00B73DED" w:rsidRDefault="00B73DED" w:rsidP="00114906">
      <w:pPr>
        <w:spacing w:after="120" w:line="360" w:lineRule="auto"/>
        <w:jc w:val="both"/>
      </w:pPr>
    </w:p>
    <w:p w14:paraId="1139A72B" w14:textId="77777777" w:rsidR="00B73DED" w:rsidRDefault="00B73DED" w:rsidP="00114906">
      <w:pPr>
        <w:spacing w:after="120" w:line="360" w:lineRule="auto"/>
        <w:jc w:val="both"/>
      </w:pPr>
    </w:p>
    <w:p w14:paraId="572CCE67" w14:textId="77777777" w:rsidR="00B73DED" w:rsidRDefault="00B73DED" w:rsidP="00114906">
      <w:pPr>
        <w:spacing w:after="120" w:line="360" w:lineRule="auto"/>
        <w:jc w:val="both"/>
      </w:pPr>
    </w:p>
    <w:p w14:paraId="5C47FBE4" w14:textId="77777777" w:rsidR="00B73DED" w:rsidRDefault="00B73DED" w:rsidP="00114906">
      <w:pPr>
        <w:spacing w:after="120" w:line="360" w:lineRule="auto"/>
        <w:jc w:val="both"/>
      </w:pPr>
    </w:p>
    <w:p w14:paraId="7593F056" w14:textId="76249D7D" w:rsidR="00B73DED" w:rsidRDefault="002B70FC" w:rsidP="002B70FC">
      <w:pPr>
        <w:spacing w:after="120" w:line="360" w:lineRule="auto"/>
      </w:pPr>
      <w:r w:rsidRPr="002B70FC">
        <w:rPr>
          <w:i/>
          <w:sz w:val="18"/>
          <w:szCs w:val="18"/>
        </w:rPr>
        <w:t>Source :</w:t>
      </w:r>
      <w:r w:rsidRPr="002B70FC">
        <w:rPr>
          <w:sz w:val="18"/>
          <w:szCs w:val="18"/>
        </w:rPr>
        <w:t xml:space="preserve"> </w:t>
      </w:r>
      <w:r w:rsidRPr="00D635E9">
        <w:rPr>
          <w:i/>
          <w:iCs/>
          <w:sz w:val="18"/>
          <w:szCs w:val="18"/>
        </w:rPr>
        <w:t>Red Book</w:t>
      </w:r>
      <w:r>
        <w:rPr>
          <w:iCs/>
          <w:sz w:val="18"/>
          <w:szCs w:val="18"/>
        </w:rPr>
        <w:t>, différentes  éditions.</w:t>
      </w:r>
    </w:p>
    <w:p w14:paraId="790EC0D4" w14:textId="77777777" w:rsidR="002B70FC" w:rsidRDefault="002B70FC" w:rsidP="00114906">
      <w:pPr>
        <w:spacing w:after="120" w:line="360" w:lineRule="auto"/>
        <w:jc w:val="both"/>
        <w:rPr>
          <w:rFonts w:ascii="Times New Roman" w:hAnsi="Times New Roman" w:cs="Times New Roman"/>
        </w:rPr>
      </w:pPr>
    </w:p>
    <w:p w14:paraId="6087A9F0" w14:textId="03B2AFCB" w:rsidR="00114906" w:rsidRDefault="00EB74A9" w:rsidP="00114906">
      <w:pPr>
        <w:spacing w:after="120" w:line="360" w:lineRule="auto"/>
        <w:jc w:val="both"/>
      </w:pPr>
      <w:r w:rsidRPr="00B73DED">
        <w:rPr>
          <w:rFonts w:ascii="Times New Roman" w:hAnsi="Times New Roman" w:cs="Times New Roman"/>
        </w:rPr>
        <w:t>De fait, l</w:t>
      </w:r>
      <w:r w:rsidR="00114906" w:rsidRPr="00B73DED">
        <w:rPr>
          <w:rFonts w:ascii="Times New Roman" w:hAnsi="Times New Roman" w:cs="Times New Roman"/>
        </w:rPr>
        <w:t xml:space="preserve">a croissance de l’exploration et de l’exploitation a principalement conduit </w:t>
      </w:r>
      <w:r w:rsidRPr="00B73DED">
        <w:rPr>
          <w:rFonts w:ascii="Times New Roman" w:hAnsi="Times New Roman" w:cs="Times New Roman"/>
        </w:rPr>
        <w:t xml:space="preserve">à un glissement de typologie </w:t>
      </w:r>
      <w:r w:rsidR="00176ACD" w:rsidRPr="00B73DED">
        <w:rPr>
          <w:rFonts w:ascii="Times New Roman" w:hAnsi="Times New Roman" w:cs="Times New Roman"/>
        </w:rPr>
        <w:t xml:space="preserve">depuis </w:t>
      </w:r>
      <w:r w:rsidR="00844C7B" w:rsidRPr="00B73DED">
        <w:rPr>
          <w:rFonts w:ascii="Times New Roman" w:hAnsi="Times New Roman" w:cs="Times New Roman"/>
        </w:rPr>
        <w:t>d</w:t>
      </w:r>
      <w:r w:rsidR="00176ACD" w:rsidRPr="00B73DED">
        <w:rPr>
          <w:rFonts w:ascii="Times New Roman" w:hAnsi="Times New Roman" w:cs="Times New Roman"/>
        </w:rPr>
        <w:t xml:space="preserve">es </w:t>
      </w:r>
      <w:r w:rsidR="00114906" w:rsidRPr="00B73DED">
        <w:rPr>
          <w:rFonts w:ascii="Times New Roman" w:hAnsi="Times New Roman" w:cs="Times New Roman"/>
          <w:iCs/>
        </w:rPr>
        <w:t>ressources</w:t>
      </w:r>
      <w:r w:rsidR="00114906" w:rsidRPr="00B73DED">
        <w:rPr>
          <w:rFonts w:ascii="Times New Roman" w:hAnsi="Times New Roman" w:cs="Times New Roman"/>
          <w:i/>
          <w:iCs/>
        </w:rPr>
        <w:t xml:space="preserve"> </w:t>
      </w:r>
      <w:r w:rsidR="00114906" w:rsidRPr="00D635E9">
        <w:rPr>
          <w:rFonts w:ascii="Times New Roman" w:hAnsi="Times New Roman" w:cs="Times New Roman"/>
          <w:iCs/>
        </w:rPr>
        <w:t>non</w:t>
      </w:r>
      <w:r w:rsidR="00DF11BC" w:rsidRPr="00D635E9">
        <w:rPr>
          <w:rFonts w:ascii="Times New Roman" w:hAnsi="Times New Roman" w:cs="Times New Roman"/>
          <w:iCs/>
        </w:rPr>
        <w:t xml:space="preserve"> </w:t>
      </w:r>
      <w:r w:rsidR="00D853D6" w:rsidRPr="00D635E9">
        <w:rPr>
          <w:rFonts w:ascii="Times New Roman" w:hAnsi="Times New Roman" w:cs="Times New Roman"/>
          <w:iCs/>
        </w:rPr>
        <w:t>découvertes</w:t>
      </w:r>
      <w:r w:rsidR="00D853D6" w:rsidRPr="00B73DED">
        <w:rPr>
          <w:rFonts w:ascii="Times New Roman" w:hAnsi="Times New Roman" w:cs="Times New Roman"/>
        </w:rPr>
        <w:t xml:space="preserve"> vers</w:t>
      </w:r>
      <w:r w:rsidR="00176ACD" w:rsidRPr="00B73DED">
        <w:rPr>
          <w:rFonts w:ascii="Times New Roman" w:hAnsi="Times New Roman" w:cs="Times New Roman"/>
        </w:rPr>
        <w:t xml:space="preserve"> </w:t>
      </w:r>
      <w:r w:rsidR="00657535" w:rsidRPr="00B73DED">
        <w:rPr>
          <w:rFonts w:ascii="Times New Roman" w:hAnsi="Times New Roman" w:cs="Times New Roman"/>
        </w:rPr>
        <w:t>des ressources</w:t>
      </w:r>
      <w:r w:rsidR="00114906" w:rsidRPr="00B73DED">
        <w:rPr>
          <w:rFonts w:ascii="Times New Roman" w:hAnsi="Times New Roman" w:cs="Times New Roman"/>
          <w:i/>
          <w:iCs/>
        </w:rPr>
        <w:t xml:space="preserve"> </w:t>
      </w:r>
      <w:r w:rsidR="00114906" w:rsidRPr="00D635E9">
        <w:rPr>
          <w:rFonts w:ascii="Times New Roman" w:hAnsi="Times New Roman" w:cs="Times New Roman"/>
          <w:iCs/>
        </w:rPr>
        <w:t>identifiées</w:t>
      </w:r>
      <w:r w:rsidR="00114906" w:rsidRPr="00B73DED">
        <w:rPr>
          <w:rFonts w:ascii="Times New Roman" w:hAnsi="Times New Roman" w:cs="Times New Roman"/>
        </w:rPr>
        <w:t xml:space="preserve">, sans </w:t>
      </w:r>
      <w:r w:rsidRPr="00B73DED">
        <w:rPr>
          <w:rFonts w:ascii="Times New Roman" w:hAnsi="Times New Roman" w:cs="Times New Roman"/>
        </w:rPr>
        <w:t xml:space="preserve">découverte </w:t>
      </w:r>
      <w:r w:rsidR="00114906" w:rsidRPr="00B73DED">
        <w:rPr>
          <w:rFonts w:ascii="Times New Roman" w:hAnsi="Times New Roman" w:cs="Times New Roman"/>
        </w:rPr>
        <w:t>de nouveaux gisements</w:t>
      </w:r>
      <w:r w:rsidR="00114906" w:rsidRPr="004169A8">
        <w:t>.</w:t>
      </w:r>
    </w:p>
    <w:p w14:paraId="3F278BB7" w14:textId="5766A210" w:rsidR="00114906" w:rsidRPr="00B73DED" w:rsidRDefault="00EB74A9" w:rsidP="002C10D5">
      <w:pPr>
        <w:spacing w:after="120" w:line="360" w:lineRule="auto"/>
        <w:jc w:val="both"/>
        <w:rPr>
          <w:rFonts w:ascii="Times New Roman" w:hAnsi="Times New Roman" w:cs="Times New Roman"/>
        </w:rPr>
      </w:pPr>
      <w:r w:rsidRPr="00B73DED">
        <w:rPr>
          <w:rFonts w:ascii="Times New Roman" w:hAnsi="Times New Roman" w:cs="Times New Roman"/>
        </w:rPr>
        <w:t xml:space="preserve">Les </w:t>
      </w:r>
      <w:r w:rsidR="00114906" w:rsidRPr="00B73DED">
        <w:rPr>
          <w:rFonts w:ascii="Times New Roman" w:hAnsi="Times New Roman" w:cs="Times New Roman"/>
        </w:rPr>
        <w:t xml:space="preserve">ordres de grandeur de la disponibilité de l’uranium à la surface de la Terre </w:t>
      </w:r>
      <w:r w:rsidRPr="00B73DED">
        <w:rPr>
          <w:rFonts w:ascii="Times New Roman" w:hAnsi="Times New Roman" w:cs="Times New Roman"/>
        </w:rPr>
        <w:t>sont donc les suivants</w:t>
      </w:r>
      <w:r w:rsidR="00D635E9">
        <w:rPr>
          <w:rFonts w:ascii="Times New Roman" w:hAnsi="Times New Roman" w:cs="Times New Roman"/>
        </w:rPr>
        <w:t> </w:t>
      </w:r>
      <w:r w:rsidR="00114906" w:rsidRPr="00B73DED">
        <w:rPr>
          <w:rFonts w:ascii="Times New Roman" w:hAnsi="Times New Roman" w:cs="Times New Roman"/>
        </w:rPr>
        <w:t>: de 6</w:t>
      </w:r>
      <w:r w:rsidR="00B11962">
        <w:rPr>
          <w:rFonts w:ascii="Times New Roman" w:hAnsi="Times New Roman" w:cs="Times New Roman"/>
        </w:rPr>
        <w:t> </w:t>
      </w:r>
      <w:r w:rsidR="00114906" w:rsidRPr="00B73DED">
        <w:rPr>
          <w:rFonts w:ascii="Times New Roman" w:hAnsi="Times New Roman" w:cs="Times New Roman"/>
        </w:rPr>
        <w:t>à 8</w:t>
      </w:r>
      <w:r w:rsidR="005732C0" w:rsidRPr="00B73DED">
        <w:rPr>
          <w:rFonts w:ascii="Times New Roman" w:hAnsi="Times New Roman" w:cs="Times New Roman"/>
        </w:rPr>
        <w:t> M</w:t>
      </w:r>
      <w:r w:rsidR="00114906" w:rsidRPr="00B73DED">
        <w:rPr>
          <w:rFonts w:ascii="Times New Roman" w:hAnsi="Times New Roman" w:cs="Times New Roman"/>
        </w:rPr>
        <w:t xml:space="preserve">t d’uranium </w:t>
      </w:r>
      <w:r w:rsidR="005B717B" w:rsidRPr="00D635E9">
        <w:rPr>
          <w:rFonts w:ascii="Times New Roman" w:hAnsi="Times New Roman" w:cs="Times New Roman"/>
          <w:iCs/>
        </w:rPr>
        <w:t>identifié</w:t>
      </w:r>
      <w:r w:rsidR="00114906" w:rsidRPr="00B73DED">
        <w:rPr>
          <w:rFonts w:ascii="Times New Roman" w:hAnsi="Times New Roman" w:cs="Times New Roman"/>
        </w:rPr>
        <w:t xml:space="preserve"> et probablement 7</w:t>
      </w:r>
      <w:r w:rsidR="00B11962">
        <w:rPr>
          <w:rFonts w:ascii="Times New Roman" w:hAnsi="Times New Roman" w:cs="Times New Roman"/>
        </w:rPr>
        <w:t> </w:t>
      </w:r>
      <w:r w:rsidR="00114906" w:rsidRPr="00B73DED">
        <w:rPr>
          <w:rFonts w:ascii="Times New Roman" w:hAnsi="Times New Roman" w:cs="Times New Roman"/>
        </w:rPr>
        <w:t>à 10</w:t>
      </w:r>
      <w:r w:rsidR="005732C0" w:rsidRPr="00B73DED">
        <w:rPr>
          <w:rFonts w:ascii="Times New Roman" w:hAnsi="Times New Roman" w:cs="Times New Roman"/>
        </w:rPr>
        <w:t> M</w:t>
      </w:r>
      <w:r w:rsidR="00114906" w:rsidRPr="00B73DED">
        <w:rPr>
          <w:rFonts w:ascii="Times New Roman" w:hAnsi="Times New Roman" w:cs="Times New Roman"/>
        </w:rPr>
        <w:t xml:space="preserve">t d’uranium </w:t>
      </w:r>
      <w:r w:rsidR="00114906" w:rsidRPr="00D635E9">
        <w:rPr>
          <w:rFonts w:ascii="Times New Roman" w:hAnsi="Times New Roman" w:cs="Times New Roman"/>
          <w:iCs/>
        </w:rPr>
        <w:t>non découvert</w:t>
      </w:r>
      <w:r w:rsidR="004259B5" w:rsidRPr="00B73DED">
        <w:rPr>
          <w:rFonts w:ascii="Times New Roman" w:hAnsi="Times New Roman" w:cs="Times New Roman"/>
        </w:rPr>
        <w:t>,</w:t>
      </w:r>
      <w:r w:rsidR="00114906" w:rsidRPr="00B73DED">
        <w:rPr>
          <w:rFonts w:ascii="Times New Roman" w:hAnsi="Times New Roman" w:cs="Times New Roman"/>
        </w:rPr>
        <w:t xml:space="preserve"> dont la possibilité d’exploitation</w:t>
      </w:r>
      <w:r w:rsidRPr="00B73DED">
        <w:rPr>
          <w:rFonts w:ascii="Times New Roman" w:hAnsi="Times New Roman" w:cs="Times New Roman"/>
        </w:rPr>
        <w:t xml:space="preserve"> reste </w:t>
      </w:r>
      <w:r w:rsidR="00114906" w:rsidRPr="00B73DED">
        <w:rPr>
          <w:rFonts w:ascii="Times New Roman" w:hAnsi="Times New Roman" w:cs="Times New Roman"/>
        </w:rPr>
        <w:t xml:space="preserve">incertaine, soit un plafond total </w:t>
      </w:r>
      <w:r w:rsidR="008A55BD" w:rsidRPr="00B73DED">
        <w:rPr>
          <w:rFonts w:ascii="Times New Roman" w:hAnsi="Times New Roman" w:cs="Times New Roman"/>
        </w:rPr>
        <w:t xml:space="preserve">d’environ </w:t>
      </w:r>
      <w:r w:rsidR="00114906" w:rsidRPr="00B73DED">
        <w:rPr>
          <w:rFonts w:ascii="Times New Roman" w:hAnsi="Times New Roman" w:cs="Times New Roman"/>
        </w:rPr>
        <w:t>15</w:t>
      </w:r>
      <w:r w:rsidR="00B11962">
        <w:rPr>
          <w:rFonts w:ascii="Times New Roman" w:hAnsi="Times New Roman" w:cs="Times New Roman"/>
        </w:rPr>
        <w:t> </w:t>
      </w:r>
      <w:r w:rsidR="00114906" w:rsidRPr="00B73DED">
        <w:rPr>
          <w:rFonts w:ascii="Times New Roman" w:hAnsi="Times New Roman" w:cs="Times New Roman"/>
        </w:rPr>
        <w:t>à 16</w:t>
      </w:r>
      <w:r w:rsidR="005732C0" w:rsidRPr="00B73DED">
        <w:rPr>
          <w:rFonts w:ascii="Times New Roman" w:hAnsi="Times New Roman" w:cs="Times New Roman"/>
        </w:rPr>
        <w:t> M</w:t>
      </w:r>
      <w:r w:rsidR="00114906" w:rsidRPr="00B73DED">
        <w:rPr>
          <w:rFonts w:ascii="Times New Roman" w:hAnsi="Times New Roman" w:cs="Times New Roman"/>
        </w:rPr>
        <w:t>t</w:t>
      </w:r>
      <w:r w:rsidR="00CB1853" w:rsidRPr="00B73DED">
        <w:rPr>
          <w:rFonts w:ascii="Times New Roman" w:hAnsi="Times New Roman" w:cs="Times New Roman"/>
        </w:rPr>
        <w:t>.</w:t>
      </w:r>
    </w:p>
    <w:p w14:paraId="294BE7CD" w14:textId="7746A93F" w:rsidR="004B6D98" w:rsidRPr="00D635E9" w:rsidRDefault="00F76E97" w:rsidP="00394886">
      <w:pPr>
        <w:spacing w:after="0" w:line="360" w:lineRule="auto"/>
        <w:jc w:val="both"/>
        <w:rPr>
          <w:rFonts w:ascii="Times New Roman" w:hAnsi="Times New Roman" w:cs="Times New Roman"/>
        </w:rPr>
      </w:pPr>
      <w:r w:rsidRPr="00D635E9">
        <w:rPr>
          <w:rFonts w:ascii="Times New Roman" w:hAnsi="Times New Roman" w:cs="Times New Roman"/>
        </w:rPr>
        <w:t>Sachant qu’un REP de 1</w:t>
      </w:r>
      <w:r w:rsidR="00B73DED" w:rsidRPr="00D635E9">
        <w:rPr>
          <w:rFonts w:ascii="Times New Roman" w:hAnsi="Times New Roman" w:cs="Times New Roman"/>
        </w:rPr>
        <w:t> </w:t>
      </w:r>
      <w:r w:rsidRPr="00D635E9">
        <w:rPr>
          <w:rFonts w:ascii="Times New Roman" w:hAnsi="Times New Roman" w:cs="Times New Roman"/>
        </w:rPr>
        <w:t xml:space="preserve">GWe fissionne annuellement </w:t>
      </w:r>
      <w:r w:rsidR="00B73DED" w:rsidRPr="00D635E9">
        <w:rPr>
          <w:rFonts w:ascii="Times New Roman" w:hAnsi="Times New Roman" w:cs="Times New Roman"/>
        </w:rPr>
        <w:t>1 t</w:t>
      </w:r>
      <w:r w:rsidRPr="00D635E9">
        <w:rPr>
          <w:rFonts w:ascii="Times New Roman" w:hAnsi="Times New Roman" w:cs="Times New Roman"/>
        </w:rPr>
        <w:t xml:space="preserve"> de noyaux d’</w:t>
      </w:r>
      <w:r w:rsidR="00B73DED" w:rsidRPr="00D635E9">
        <w:rPr>
          <w:rFonts w:ascii="Times New Roman" w:hAnsi="Times New Roman" w:cs="Times New Roman"/>
        </w:rPr>
        <w:t>U</w:t>
      </w:r>
      <w:r w:rsidRPr="00D635E9">
        <w:rPr>
          <w:rFonts w:ascii="Times New Roman" w:hAnsi="Times New Roman" w:cs="Times New Roman"/>
          <w:vertAlign w:val="superscript"/>
        </w:rPr>
        <w:t>235</w:t>
      </w:r>
      <w:r w:rsidRPr="00D635E9">
        <w:rPr>
          <w:rFonts w:ascii="Times New Roman" w:hAnsi="Times New Roman" w:cs="Times New Roman"/>
        </w:rPr>
        <w:t>, la puissance électronucléaire mondiale de 400</w:t>
      </w:r>
      <w:r w:rsidR="00B73DED" w:rsidRPr="00D635E9">
        <w:rPr>
          <w:rFonts w:ascii="Times New Roman" w:hAnsi="Times New Roman" w:cs="Times New Roman"/>
        </w:rPr>
        <w:t> </w:t>
      </w:r>
      <w:r w:rsidRPr="00D635E9">
        <w:rPr>
          <w:rFonts w:ascii="Times New Roman" w:hAnsi="Times New Roman" w:cs="Times New Roman"/>
        </w:rPr>
        <w:t>GWe correspond à la consommation annuelle d’environ 60</w:t>
      </w:r>
      <w:r w:rsidR="00B73DED" w:rsidRPr="00D635E9">
        <w:rPr>
          <w:rFonts w:ascii="Times New Roman" w:hAnsi="Times New Roman" w:cs="Times New Roman"/>
        </w:rPr>
        <w:t> </w:t>
      </w:r>
      <w:r w:rsidRPr="00D635E9">
        <w:rPr>
          <w:rFonts w:ascii="Times New Roman" w:hAnsi="Times New Roman" w:cs="Times New Roman"/>
        </w:rPr>
        <w:t>000</w:t>
      </w:r>
      <w:r w:rsidR="00B73DED" w:rsidRPr="00D635E9">
        <w:rPr>
          <w:rFonts w:ascii="Times New Roman" w:hAnsi="Times New Roman" w:cs="Times New Roman"/>
        </w:rPr>
        <w:t> </w:t>
      </w:r>
      <w:r w:rsidRPr="00D635E9">
        <w:rPr>
          <w:rFonts w:ascii="Times New Roman" w:hAnsi="Times New Roman" w:cs="Times New Roman"/>
        </w:rPr>
        <w:t>t d’uranium</w:t>
      </w:r>
      <w:r w:rsidR="0071704F" w:rsidRPr="00D635E9">
        <w:rPr>
          <w:rFonts w:ascii="Times New Roman" w:hAnsi="Times New Roman" w:cs="Times New Roman"/>
        </w:rPr>
        <w:t xml:space="preserve"> naturel</w:t>
      </w:r>
      <w:r w:rsidRPr="00D635E9">
        <w:rPr>
          <w:rFonts w:ascii="Times New Roman" w:hAnsi="Times New Roman" w:cs="Times New Roman"/>
        </w:rPr>
        <w:t xml:space="preserve">. </w:t>
      </w:r>
      <w:r w:rsidR="005D3DFC" w:rsidRPr="00D635E9">
        <w:rPr>
          <w:rFonts w:ascii="Times New Roman" w:hAnsi="Times New Roman" w:cs="Times New Roman"/>
        </w:rPr>
        <w:t xml:space="preserve">En 2023, </w:t>
      </w:r>
      <w:r w:rsidR="002B5BC7" w:rsidRPr="00D635E9">
        <w:rPr>
          <w:rFonts w:ascii="Times New Roman" w:hAnsi="Times New Roman" w:cs="Times New Roman"/>
        </w:rPr>
        <w:t xml:space="preserve">l’AIEA dénombrait </w:t>
      </w:r>
      <w:r w:rsidR="005D3DFC" w:rsidRPr="00D635E9">
        <w:rPr>
          <w:rFonts w:ascii="Times New Roman" w:hAnsi="Times New Roman" w:cs="Times New Roman"/>
        </w:rPr>
        <w:t xml:space="preserve">une soixantaine </w:t>
      </w:r>
      <w:r w:rsidR="002B5BC7" w:rsidRPr="00D635E9">
        <w:rPr>
          <w:rFonts w:ascii="Times New Roman" w:hAnsi="Times New Roman" w:cs="Times New Roman"/>
        </w:rPr>
        <w:t xml:space="preserve">de réacteurs </w:t>
      </w:r>
      <w:r w:rsidR="005D3DFC" w:rsidRPr="00D635E9">
        <w:rPr>
          <w:rFonts w:ascii="Times New Roman" w:hAnsi="Times New Roman" w:cs="Times New Roman"/>
        </w:rPr>
        <w:t>en construction</w:t>
      </w:r>
      <w:r w:rsidR="00EB74A9" w:rsidRPr="00D635E9">
        <w:rPr>
          <w:rFonts w:ascii="Times New Roman" w:hAnsi="Times New Roman" w:cs="Times New Roman"/>
        </w:rPr>
        <w:t xml:space="preserve"> et</w:t>
      </w:r>
      <w:r w:rsidR="005D3DFC" w:rsidRPr="00D635E9">
        <w:rPr>
          <w:rFonts w:ascii="Times New Roman" w:hAnsi="Times New Roman" w:cs="Times New Roman"/>
        </w:rPr>
        <w:t xml:space="preserve"> plus de 400</w:t>
      </w:r>
      <w:r w:rsidR="00B73DED" w:rsidRPr="00D635E9">
        <w:rPr>
          <w:rFonts w:ascii="Times New Roman" w:hAnsi="Times New Roman" w:cs="Times New Roman"/>
        </w:rPr>
        <w:t> </w:t>
      </w:r>
      <w:r w:rsidR="00EB74A9" w:rsidRPr="00D635E9">
        <w:rPr>
          <w:rFonts w:ascii="Times New Roman" w:hAnsi="Times New Roman" w:cs="Times New Roman"/>
        </w:rPr>
        <w:t xml:space="preserve">réacteurs </w:t>
      </w:r>
      <w:r w:rsidR="005D3DFC" w:rsidRPr="00D635E9">
        <w:rPr>
          <w:rFonts w:ascii="Times New Roman" w:hAnsi="Times New Roman" w:cs="Times New Roman"/>
        </w:rPr>
        <w:t>à l’étude</w:t>
      </w:r>
      <w:r w:rsidR="0056716A" w:rsidRPr="00D635E9">
        <w:rPr>
          <w:rFonts w:ascii="Times New Roman" w:hAnsi="Times New Roman" w:cs="Times New Roman"/>
        </w:rPr>
        <w:t xml:space="preserve">, soit </w:t>
      </w:r>
      <w:r w:rsidR="005D3DFC" w:rsidRPr="00D635E9">
        <w:rPr>
          <w:rFonts w:ascii="Times New Roman" w:hAnsi="Times New Roman" w:cs="Times New Roman"/>
        </w:rPr>
        <w:t>une croissance de puissance nucléaire de 50</w:t>
      </w:r>
      <w:r w:rsidR="005732C0" w:rsidRPr="00D635E9">
        <w:rPr>
          <w:rFonts w:ascii="Times New Roman" w:hAnsi="Times New Roman" w:cs="Times New Roman"/>
        </w:rPr>
        <w:t> %</w:t>
      </w:r>
      <w:r w:rsidR="005D3DFC" w:rsidRPr="00D635E9">
        <w:rPr>
          <w:rFonts w:ascii="Times New Roman" w:hAnsi="Times New Roman" w:cs="Times New Roman"/>
        </w:rPr>
        <w:t xml:space="preserve"> d’ici </w:t>
      </w:r>
      <w:r w:rsidR="0056716A" w:rsidRPr="00D635E9">
        <w:rPr>
          <w:rFonts w:ascii="Times New Roman" w:hAnsi="Times New Roman" w:cs="Times New Roman"/>
        </w:rPr>
        <w:t xml:space="preserve">à </w:t>
      </w:r>
      <w:r w:rsidR="005D3DFC" w:rsidRPr="00D635E9">
        <w:rPr>
          <w:rFonts w:ascii="Times New Roman" w:hAnsi="Times New Roman" w:cs="Times New Roman"/>
        </w:rPr>
        <w:t>2050</w:t>
      </w:r>
      <w:r w:rsidR="0056716A" w:rsidRPr="00D635E9">
        <w:rPr>
          <w:rStyle w:val="Appelnotedebasdep"/>
          <w:rFonts w:ascii="Times New Roman" w:hAnsi="Times New Roman" w:cs="Times New Roman"/>
          <w:highlight w:val="red"/>
        </w:rPr>
        <w:footnoteReference w:id="7"/>
      </w:r>
      <w:r w:rsidR="005D3DFC" w:rsidRPr="00D635E9">
        <w:rPr>
          <w:rFonts w:ascii="Times New Roman" w:hAnsi="Times New Roman" w:cs="Times New Roman"/>
        </w:rPr>
        <w:t xml:space="preserve">. </w:t>
      </w:r>
      <w:r w:rsidR="00EB74A9" w:rsidRPr="00D635E9">
        <w:rPr>
          <w:rFonts w:ascii="Times New Roman" w:hAnsi="Times New Roman" w:cs="Times New Roman"/>
        </w:rPr>
        <w:t>De plus</w:t>
      </w:r>
      <w:r w:rsidR="00F61089" w:rsidRPr="00D635E9">
        <w:rPr>
          <w:rFonts w:ascii="Times New Roman" w:hAnsi="Times New Roman" w:cs="Times New Roman"/>
        </w:rPr>
        <w:t xml:space="preserve">, </w:t>
      </w:r>
      <w:r w:rsidR="00F61089" w:rsidRPr="00950001">
        <w:rPr>
          <w:rFonts w:ascii="Times New Roman" w:hAnsi="Times New Roman" w:cs="Times New Roman"/>
          <w:color w:val="0070C0"/>
        </w:rPr>
        <w:t>l</w:t>
      </w:r>
      <w:r w:rsidR="005D3DFC" w:rsidRPr="00950001">
        <w:rPr>
          <w:rFonts w:ascii="Times New Roman" w:hAnsi="Times New Roman" w:cs="Times New Roman"/>
          <w:color w:val="0070C0"/>
        </w:rPr>
        <w:t>ors de la COP</w:t>
      </w:r>
      <w:r w:rsidR="00B73DED" w:rsidRPr="00950001">
        <w:rPr>
          <w:rFonts w:ascii="Times New Roman" w:hAnsi="Times New Roman" w:cs="Times New Roman"/>
          <w:color w:val="0070C0"/>
        </w:rPr>
        <w:t> </w:t>
      </w:r>
      <w:r w:rsidR="005D3DFC" w:rsidRPr="00950001">
        <w:rPr>
          <w:rFonts w:ascii="Times New Roman" w:hAnsi="Times New Roman" w:cs="Times New Roman"/>
          <w:color w:val="0070C0"/>
        </w:rPr>
        <w:t xml:space="preserve">28, une vingtaine de pays, dont la France, se sont engagés à tripler la puissance mondiale dans cette même période. </w:t>
      </w:r>
      <w:r w:rsidR="002704D1" w:rsidRPr="00950001">
        <w:rPr>
          <w:rFonts w:ascii="Times New Roman" w:hAnsi="Times New Roman" w:cs="Times New Roman"/>
          <w:color w:val="0070C0"/>
        </w:rPr>
        <w:t xml:space="preserve">Avec </w:t>
      </w:r>
      <w:r w:rsidR="00EB74A9" w:rsidRPr="00950001">
        <w:rPr>
          <w:rFonts w:ascii="Times New Roman" w:hAnsi="Times New Roman" w:cs="Times New Roman"/>
          <w:color w:val="0070C0"/>
        </w:rPr>
        <w:t>une telle</w:t>
      </w:r>
      <w:r w:rsidR="00D7211C" w:rsidRPr="00950001">
        <w:rPr>
          <w:rFonts w:ascii="Times New Roman" w:hAnsi="Times New Roman" w:cs="Times New Roman"/>
          <w:color w:val="0070C0"/>
        </w:rPr>
        <w:t xml:space="preserve"> croissance</w:t>
      </w:r>
      <w:r w:rsidR="00D7211C" w:rsidRPr="00950001">
        <w:rPr>
          <w:rFonts w:ascii="Times New Roman" w:hAnsi="Times New Roman" w:cs="Times New Roman"/>
        </w:rPr>
        <w:t xml:space="preserve">, n’incluant </w:t>
      </w:r>
      <w:r w:rsidR="00EB74A9" w:rsidRPr="00950001">
        <w:rPr>
          <w:rFonts w:ascii="Times New Roman" w:hAnsi="Times New Roman" w:cs="Times New Roman"/>
        </w:rPr>
        <w:t xml:space="preserve">ni </w:t>
      </w:r>
      <w:r w:rsidR="00F4721F" w:rsidRPr="00950001">
        <w:rPr>
          <w:rFonts w:ascii="Times New Roman" w:hAnsi="Times New Roman" w:cs="Times New Roman"/>
        </w:rPr>
        <w:t>la Chine</w:t>
      </w:r>
      <w:r w:rsidR="00EB74A9" w:rsidRPr="00950001">
        <w:rPr>
          <w:rFonts w:ascii="Times New Roman" w:hAnsi="Times New Roman" w:cs="Times New Roman"/>
        </w:rPr>
        <w:t xml:space="preserve"> </w:t>
      </w:r>
      <w:r w:rsidR="00B73DED" w:rsidRPr="00950001">
        <w:rPr>
          <w:rFonts w:ascii="Times New Roman" w:hAnsi="Times New Roman" w:cs="Times New Roman"/>
        </w:rPr>
        <w:t>ni la Russie</w:t>
      </w:r>
      <w:r w:rsidR="00596366" w:rsidRPr="00950001">
        <w:rPr>
          <w:rFonts w:ascii="Times New Roman" w:hAnsi="Times New Roman" w:cs="Times New Roman"/>
        </w:rPr>
        <w:t xml:space="preserve"> </w:t>
      </w:r>
      <w:r w:rsidR="00EB74A9" w:rsidRPr="00950001">
        <w:rPr>
          <w:rFonts w:ascii="Times New Roman" w:hAnsi="Times New Roman" w:cs="Times New Roman"/>
        </w:rPr>
        <w:t>ni</w:t>
      </w:r>
      <w:r w:rsidR="00F4721F" w:rsidRPr="00950001">
        <w:rPr>
          <w:rFonts w:ascii="Times New Roman" w:hAnsi="Times New Roman" w:cs="Times New Roman"/>
        </w:rPr>
        <w:t xml:space="preserve"> l’Inde, </w:t>
      </w:r>
      <w:r w:rsidR="00F22DEE" w:rsidRPr="00950001">
        <w:rPr>
          <w:rFonts w:ascii="Times New Roman" w:hAnsi="Times New Roman" w:cs="Times New Roman"/>
          <w:color w:val="0070C0"/>
        </w:rPr>
        <w:t xml:space="preserve">la </w:t>
      </w:r>
      <w:r w:rsidR="005D3DFC" w:rsidRPr="00950001">
        <w:rPr>
          <w:rFonts w:ascii="Times New Roman" w:hAnsi="Times New Roman" w:cs="Times New Roman"/>
          <w:color w:val="0070C0"/>
        </w:rPr>
        <w:t>limite du plafond des ressources identifiées d’uranium</w:t>
      </w:r>
      <w:r w:rsidR="00F22DEE" w:rsidRPr="00950001">
        <w:rPr>
          <w:rFonts w:ascii="Times New Roman" w:hAnsi="Times New Roman" w:cs="Times New Roman"/>
          <w:color w:val="0070C0"/>
        </w:rPr>
        <w:t xml:space="preserve"> sera atteinte vers le milieu du siècle</w:t>
      </w:r>
      <w:r w:rsidR="00F22DEE" w:rsidRPr="00D635E9">
        <w:rPr>
          <w:rFonts w:ascii="Times New Roman" w:hAnsi="Times New Roman" w:cs="Times New Roman"/>
        </w:rPr>
        <w:t xml:space="preserve"> </w:t>
      </w:r>
      <w:r w:rsidR="00AF09B7">
        <w:rPr>
          <w:rFonts w:ascii="Times New Roman" w:hAnsi="Times New Roman" w:cs="Times New Roman"/>
          <w:i/>
          <w:highlight w:val="cyan"/>
        </w:rPr>
        <w:t>(</w:t>
      </w:r>
      <w:r w:rsidR="00B73DED" w:rsidRPr="00481AD5">
        <w:rPr>
          <w:rFonts w:ascii="Times New Roman" w:hAnsi="Times New Roman" w:cs="Times New Roman"/>
          <w:i/>
          <w:highlight w:val="cyan"/>
        </w:rPr>
        <w:t>fig. </w:t>
      </w:r>
      <w:r w:rsidR="002C10D5" w:rsidRPr="00481AD5">
        <w:rPr>
          <w:rFonts w:ascii="Times New Roman" w:hAnsi="Times New Roman" w:cs="Times New Roman"/>
          <w:i/>
          <w:highlight w:val="cyan"/>
        </w:rPr>
        <w:t>3</w:t>
      </w:r>
      <w:r w:rsidR="00F22DEE" w:rsidRPr="00481AD5">
        <w:rPr>
          <w:rFonts w:ascii="Times New Roman" w:hAnsi="Times New Roman" w:cs="Times New Roman"/>
          <w:i/>
          <w:highlight w:val="cyan"/>
        </w:rPr>
        <w:t>)</w:t>
      </w:r>
      <w:r w:rsidR="005D3DFC" w:rsidRPr="00D635E9">
        <w:rPr>
          <w:rFonts w:ascii="Times New Roman" w:hAnsi="Times New Roman" w:cs="Times New Roman"/>
        </w:rPr>
        <w:t>.</w:t>
      </w:r>
      <w:r w:rsidR="00346F18" w:rsidRPr="00D635E9">
        <w:rPr>
          <w:rFonts w:ascii="Times New Roman" w:hAnsi="Times New Roman" w:cs="Times New Roman"/>
        </w:rPr>
        <w:t xml:space="preserve"> Comment imaginer alors </w:t>
      </w:r>
      <w:r w:rsidR="005D3DFC" w:rsidRPr="00D635E9">
        <w:rPr>
          <w:rFonts w:ascii="Times New Roman" w:hAnsi="Times New Roman" w:cs="Times New Roman"/>
        </w:rPr>
        <w:t xml:space="preserve">investir dans des EPR </w:t>
      </w:r>
      <w:r w:rsidR="00EB74A9" w:rsidRPr="00D635E9">
        <w:rPr>
          <w:rFonts w:ascii="Times New Roman" w:hAnsi="Times New Roman" w:cs="Times New Roman"/>
        </w:rPr>
        <w:t>dont la</w:t>
      </w:r>
      <w:r w:rsidR="005D3DFC" w:rsidRPr="00D635E9">
        <w:rPr>
          <w:rFonts w:ascii="Times New Roman" w:hAnsi="Times New Roman" w:cs="Times New Roman"/>
        </w:rPr>
        <w:t xml:space="preserve"> durée de vie </w:t>
      </w:r>
      <w:r w:rsidR="00EB74A9" w:rsidRPr="00D635E9">
        <w:rPr>
          <w:rFonts w:ascii="Times New Roman" w:hAnsi="Times New Roman" w:cs="Times New Roman"/>
        </w:rPr>
        <w:t xml:space="preserve">est </w:t>
      </w:r>
      <w:r w:rsidR="005D3DFC" w:rsidRPr="00D635E9">
        <w:rPr>
          <w:rFonts w:ascii="Times New Roman" w:hAnsi="Times New Roman" w:cs="Times New Roman"/>
        </w:rPr>
        <w:t xml:space="preserve">d’au moins </w:t>
      </w:r>
      <w:r w:rsidR="00EB74A9" w:rsidRPr="00D635E9">
        <w:rPr>
          <w:rFonts w:ascii="Times New Roman" w:hAnsi="Times New Roman" w:cs="Times New Roman"/>
        </w:rPr>
        <w:t>60</w:t>
      </w:r>
      <w:r w:rsidR="00B11962">
        <w:rPr>
          <w:rFonts w:ascii="Times New Roman" w:hAnsi="Times New Roman" w:cs="Times New Roman"/>
        </w:rPr>
        <w:t> </w:t>
      </w:r>
      <w:bookmarkStart w:id="0" w:name="_GoBack"/>
      <w:bookmarkEnd w:id="0"/>
      <w:r w:rsidR="0051785D" w:rsidRPr="00D635E9">
        <w:rPr>
          <w:rFonts w:ascii="Times New Roman" w:hAnsi="Times New Roman" w:cs="Times New Roman"/>
        </w:rPr>
        <w:t>à</w:t>
      </w:r>
      <w:r w:rsidR="00B11962">
        <w:rPr>
          <w:rFonts w:ascii="Times New Roman" w:hAnsi="Times New Roman" w:cs="Times New Roman"/>
        </w:rPr>
        <w:t xml:space="preserve"> </w:t>
      </w:r>
      <w:r w:rsidR="00EB74A9" w:rsidRPr="00D635E9">
        <w:rPr>
          <w:rFonts w:ascii="Times New Roman" w:hAnsi="Times New Roman" w:cs="Times New Roman"/>
        </w:rPr>
        <w:t>80</w:t>
      </w:r>
      <w:r w:rsidR="0051785D" w:rsidRPr="00D635E9">
        <w:rPr>
          <w:rFonts w:ascii="Times New Roman" w:hAnsi="Times New Roman" w:cs="Times New Roman"/>
        </w:rPr>
        <w:t> </w:t>
      </w:r>
      <w:r w:rsidR="005D3DFC" w:rsidRPr="00D635E9">
        <w:rPr>
          <w:rFonts w:ascii="Times New Roman" w:hAnsi="Times New Roman" w:cs="Times New Roman"/>
        </w:rPr>
        <w:t>ans</w:t>
      </w:r>
      <w:r w:rsidR="004B6D98" w:rsidRPr="00D635E9">
        <w:rPr>
          <w:rFonts w:ascii="Times New Roman" w:hAnsi="Times New Roman" w:cs="Times New Roman"/>
        </w:rPr>
        <w:t> ?</w:t>
      </w:r>
    </w:p>
    <w:p w14:paraId="3E9170B2" w14:textId="77777777" w:rsidR="004B6D98" w:rsidRDefault="004B6D98" w:rsidP="00394886">
      <w:pPr>
        <w:spacing w:after="0" w:line="360" w:lineRule="auto"/>
        <w:jc w:val="both"/>
        <w:rPr>
          <w:rFonts w:cstheme="minorHAnsi"/>
        </w:rPr>
      </w:pPr>
    </w:p>
    <w:p w14:paraId="21C58B64" w14:textId="2EF47E62" w:rsidR="005D3DFC" w:rsidRPr="00D635E9" w:rsidRDefault="005D3DFC" w:rsidP="00394886">
      <w:pPr>
        <w:spacing w:after="0" w:line="360" w:lineRule="auto"/>
        <w:jc w:val="both"/>
        <w:rPr>
          <w:rFonts w:ascii="Times New Roman" w:hAnsi="Times New Roman" w:cs="Times New Roman"/>
          <w:bCs/>
        </w:rPr>
      </w:pPr>
      <w:r w:rsidRPr="00D635E9">
        <w:rPr>
          <w:rFonts w:ascii="Times New Roman" w:hAnsi="Times New Roman" w:cs="Times New Roman"/>
          <w:bCs/>
        </w:rPr>
        <w:lastRenderedPageBreak/>
        <w:t>Sans disposer du potentiel des RNR</w:t>
      </w:r>
      <w:r w:rsidR="008C15E5">
        <w:rPr>
          <w:rFonts w:ascii="Times New Roman" w:hAnsi="Times New Roman" w:cs="Times New Roman"/>
          <w:bCs/>
        </w:rPr>
        <w:t>,</w:t>
      </w:r>
      <w:r w:rsidR="00BA6607" w:rsidRPr="00D635E9">
        <w:rPr>
          <w:rFonts w:ascii="Times New Roman" w:hAnsi="Times New Roman" w:cs="Times New Roman"/>
          <w:bCs/>
        </w:rPr>
        <w:t xml:space="preserve"> capable</w:t>
      </w:r>
      <w:r w:rsidR="00E25515" w:rsidRPr="00D635E9">
        <w:rPr>
          <w:rFonts w:ascii="Times New Roman" w:hAnsi="Times New Roman" w:cs="Times New Roman"/>
          <w:bCs/>
        </w:rPr>
        <w:t>s</w:t>
      </w:r>
      <w:r w:rsidR="00BA6607" w:rsidRPr="00D635E9">
        <w:rPr>
          <w:rFonts w:ascii="Times New Roman" w:hAnsi="Times New Roman" w:cs="Times New Roman"/>
          <w:bCs/>
        </w:rPr>
        <w:t xml:space="preserve"> d’exploiter </w:t>
      </w:r>
      <w:r w:rsidR="00EB74A9" w:rsidRPr="00D635E9">
        <w:rPr>
          <w:rFonts w:ascii="Times New Roman" w:hAnsi="Times New Roman" w:cs="Times New Roman"/>
          <w:bCs/>
        </w:rPr>
        <w:t>la totalité de</w:t>
      </w:r>
      <w:r w:rsidR="00BA6607" w:rsidRPr="00D635E9">
        <w:rPr>
          <w:rFonts w:ascii="Times New Roman" w:hAnsi="Times New Roman" w:cs="Times New Roman"/>
          <w:bCs/>
        </w:rPr>
        <w:t xml:space="preserve"> la matière fissible</w:t>
      </w:r>
      <w:r w:rsidRPr="00D635E9">
        <w:rPr>
          <w:rFonts w:ascii="Times New Roman" w:hAnsi="Times New Roman" w:cs="Times New Roman"/>
          <w:bCs/>
        </w:rPr>
        <w:t xml:space="preserve">, le nucléaire à base de REP </w:t>
      </w:r>
      <w:r w:rsidR="00EB74A9" w:rsidRPr="00D635E9">
        <w:rPr>
          <w:rFonts w:ascii="Times New Roman" w:hAnsi="Times New Roman" w:cs="Times New Roman"/>
          <w:bCs/>
        </w:rPr>
        <w:t>ou d’EPR</w:t>
      </w:r>
      <w:r w:rsidRPr="00D635E9">
        <w:rPr>
          <w:rFonts w:ascii="Times New Roman" w:hAnsi="Times New Roman" w:cs="Times New Roman"/>
          <w:bCs/>
        </w:rPr>
        <w:t xml:space="preserve"> s’arrêtera</w:t>
      </w:r>
      <w:r w:rsidR="00BE02BF" w:rsidRPr="00D635E9">
        <w:rPr>
          <w:rFonts w:ascii="Times New Roman" w:hAnsi="Times New Roman" w:cs="Times New Roman"/>
          <w:bCs/>
        </w:rPr>
        <w:t xml:space="preserve"> dans la </w:t>
      </w:r>
      <w:r w:rsidR="0051785D" w:rsidRPr="00D635E9">
        <w:rPr>
          <w:rFonts w:ascii="Times New Roman" w:hAnsi="Times New Roman" w:cs="Times New Roman"/>
          <w:bCs/>
        </w:rPr>
        <w:t>seconde</w:t>
      </w:r>
      <w:r w:rsidR="00D95616" w:rsidRPr="00D635E9">
        <w:rPr>
          <w:rFonts w:ascii="Times New Roman" w:hAnsi="Times New Roman" w:cs="Times New Roman"/>
          <w:bCs/>
        </w:rPr>
        <w:t xml:space="preserve"> moitié du siècle,</w:t>
      </w:r>
      <w:r w:rsidRPr="00D635E9">
        <w:rPr>
          <w:rFonts w:ascii="Times New Roman" w:hAnsi="Times New Roman" w:cs="Times New Roman"/>
          <w:bCs/>
        </w:rPr>
        <w:t xml:space="preserve"> car </w:t>
      </w:r>
      <w:r w:rsidR="00BA6607" w:rsidRPr="00D635E9">
        <w:rPr>
          <w:rFonts w:ascii="Times New Roman" w:hAnsi="Times New Roman" w:cs="Times New Roman"/>
          <w:bCs/>
        </w:rPr>
        <w:t xml:space="preserve">la ressource </w:t>
      </w:r>
      <w:r w:rsidR="00000BE3" w:rsidRPr="00D635E9">
        <w:rPr>
          <w:rFonts w:ascii="Times New Roman" w:hAnsi="Times New Roman" w:cs="Times New Roman"/>
          <w:bCs/>
        </w:rPr>
        <w:t xml:space="preserve">en </w:t>
      </w:r>
      <w:r w:rsidR="00B97C49" w:rsidRPr="00D635E9">
        <w:rPr>
          <w:rFonts w:ascii="Times New Roman" w:hAnsi="Times New Roman" w:cs="Times New Roman"/>
          <w:bCs/>
        </w:rPr>
        <w:t>U</w:t>
      </w:r>
      <w:r w:rsidR="00B97C49" w:rsidRPr="00D635E9">
        <w:rPr>
          <w:rFonts w:ascii="Times New Roman" w:hAnsi="Times New Roman" w:cs="Times New Roman"/>
          <w:bCs/>
          <w:vertAlign w:val="superscript"/>
        </w:rPr>
        <w:t>235</w:t>
      </w:r>
      <w:r w:rsidR="00B97C49" w:rsidRPr="00D635E9">
        <w:rPr>
          <w:rFonts w:ascii="Times New Roman" w:hAnsi="Times New Roman" w:cs="Times New Roman"/>
          <w:bCs/>
        </w:rPr>
        <w:t xml:space="preserve"> </w:t>
      </w:r>
      <w:r w:rsidRPr="00D635E9">
        <w:rPr>
          <w:rFonts w:ascii="Times New Roman" w:hAnsi="Times New Roman" w:cs="Times New Roman"/>
          <w:bCs/>
        </w:rPr>
        <w:t>sera épuisé</w:t>
      </w:r>
      <w:r w:rsidR="00BA6607" w:rsidRPr="00D635E9">
        <w:rPr>
          <w:rFonts w:ascii="Times New Roman" w:hAnsi="Times New Roman" w:cs="Times New Roman"/>
          <w:bCs/>
        </w:rPr>
        <w:t>e</w:t>
      </w:r>
      <w:r w:rsidR="005B329F" w:rsidRPr="00D635E9">
        <w:rPr>
          <w:rFonts w:ascii="Times New Roman" w:hAnsi="Times New Roman" w:cs="Times New Roman"/>
          <w:bCs/>
        </w:rPr>
        <w:t xml:space="preserve">. Alors </w:t>
      </w:r>
      <w:r w:rsidR="00DC1CD0" w:rsidRPr="00D635E9">
        <w:rPr>
          <w:rFonts w:ascii="Times New Roman" w:hAnsi="Times New Roman" w:cs="Times New Roman"/>
          <w:bCs/>
        </w:rPr>
        <w:t>tout</w:t>
      </w:r>
      <w:r w:rsidR="005B329F" w:rsidRPr="00D635E9">
        <w:rPr>
          <w:rFonts w:ascii="Times New Roman" w:hAnsi="Times New Roman" w:cs="Times New Roman"/>
          <w:bCs/>
        </w:rPr>
        <w:t xml:space="preserve"> démarrage de réaction en cha</w:t>
      </w:r>
      <w:r w:rsidR="00A55184" w:rsidRPr="00D635E9">
        <w:rPr>
          <w:rFonts w:ascii="Times New Roman" w:hAnsi="Times New Roman" w:cs="Times New Roman"/>
          <w:bCs/>
        </w:rPr>
        <w:t>î</w:t>
      </w:r>
      <w:r w:rsidR="005B329F" w:rsidRPr="00D635E9">
        <w:rPr>
          <w:rFonts w:ascii="Times New Roman" w:hAnsi="Times New Roman" w:cs="Times New Roman"/>
          <w:bCs/>
        </w:rPr>
        <w:t xml:space="preserve">ne sur Terre </w:t>
      </w:r>
      <w:r w:rsidR="00DC1CD0" w:rsidRPr="00D635E9">
        <w:rPr>
          <w:rFonts w:ascii="Times New Roman" w:hAnsi="Times New Roman" w:cs="Times New Roman"/>
          <w:bCs/>
        </w:rPr>
        <w:t>deviend</w:t>
      </w:r>
      <w:r w:rsidR="005B329F" w:rsidRPr="00D635E9">
        <w:rPr>
          <w:rFonts w:ascii="Times New Roman" w:hAnsi="Times New Roman" w:cs="Times New Roman"/>
          <w:bCs/>
        </w:rPr>
        <w:t>ra impossible.</w:t>
      </w:r>
    </w:p>
    <w:p w14:paraId="39538BF7" w14:textId="002A32F4" w:rsidR="0051785D" w:rsidRDefault="0051785D" w:rsidP="00394886">
      <w:pPr>
        <w:spacing w:after="0" w:line="360" w:lineRule="auto"/>
        <w:jc w:val="both"/>
        <w:rPr>
          <w:rFonts w:cstheme="minorHAnsi"/>
          <w:bCs/>
        </w:rPr>
      </w:pPr>
    </w:p>
    <w:p w14:paraId="6DF1638D" w14:textId="33C04F57" w:rsidR="008C15E5" w:rsidRDefault="008C15E5" w:rsidP="00394886">
      <w:pPr>
        <w:spacing w:after="0" w:line="360" w:lineRule="auto"/>
        <w:jc w:val="both"/>
        <w:rPr>
          <w:rFonts w:cstheme="minorHAnsi"/>
          <w:bCs/>
        </w:rPr>
      </w:pPr>
    </w:p>
    <w:p w14:paraId="0E138908" w14:textId="2BF437A0" w:rsidR="0051785D" w:rsidRPr="001532C4" w:rsidRDefault="0051785D" w:rsidP="0051785D">
      <w:pPr>
        <w:jc w:val="both"/>
      </w:pPr>
      <w:r w:rsidRPr="00AF09B7">
        <w:rPr>
          <w:b/>
          <w:i/>
        </w:rPr>
        <w:t>Figure 3</w:t>
      </w:r>
      <w:r w:rsidR="00AF09B7" w:rsidRPr="00AF09B7">
        <w:rPr>
          <w:b/>
          <w:i/>
        </w:rPr>
        <w:t>.</w:t>
      </w:r>
      <w:r w:rsidRPr="00AF09B7">
        <w:rPr>
          <w:b/>
          <w:i/>
        </w:rPr>
        <w:t xml:space="preserve"> </w:t>
      </w:r>
      <w:r w:rsidR="008C15E5" w:rsidRPr="00AF09B7">
        <w:rPr>
          <w:b/>
          <w:i/>
        </w:rPr>
        <w:t>–</w:t>
      </w:r>
      <w:r w:rsidRPr="001532C4">
        <w:t xml:space="preserve"> </w:t>
      </w:r>
      <w:r>
        <w:t>É</w:t>
      </w:r>
      <w:r w:rsidRPr="001532C4">
        <w:t>volution de la consommation d’uranium de 2020 à 2100</w:t>
      </w:r>
      <w:r w:rsidR="00AF09B7">
        <w:t xml:space="preserve"> en fonction de trois scénarios</w:t>
      </w:r>
    </w:p>
    <w:p w14:paraId="140711C7" w14:textId="0D96928D" w:rsidR="002C10D5" w:rsidRDefault="008C15E5" w:rsidP="00394886">
      <w:pPr>
        <w:spacing w:after="0" w:line="360" w:lineRule="auto"/>
        <w:jc w:val="both"/>
        <w:rPr>
          <w:rFonts w:cstheme="minorHAnsi"/>
        </w:rPr>
      </w:pPr>
      <w:r>
        <w:rPr>
          <w:noProof/>
          <w:lang w:eastAsia="fr-FR"/>
        </w:rPr>
        <w:drawing>
          <wp:anchor distT="0" distB="0" distL="114300" distR="114300" simplePos="0" relativeHeight="251660288" behindDoc="0" locked="0" layoutInCell="1" allowOverlap="1" wp14:anchorId="6B56EB82" wp14:editId="237BD761">
            <wp:simplePos x="0" y="0"/>
            <wp:positionH relativeFrom="margin">
              <wp:align>left</wp:align>
            </wp:positionH>
            <wp:positionV relativeFrom="paragraph">
              <wp:posOffset>-635</wp:posOffset>
            </wp:positionV>
            <wp:extent cx="5535295" cy="3926205"/>
            <wp:effectExtent l="0" t="0" r="6350" b="12700"/>
            <wp:wrapSquare wrapText="bothSides"/>
            <wp:docPr id="1801385015" name="Graphique 1">
              <a:extLst xmlns:a="http://schemas.openxmlformats.org/drawingml/2006/main">
                <a:ext uri="{FF2B5EF4-FFF2-40B4-BE49-F238E27FC236}">
                  <a16:creationId xmlns:a16="http://schemas.microsoft.com/office/drawing/2014/main" id="{AF30C920-9AF7-4B68-948F-65B605C79B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A127105" w14:textId="77777777" w:rsidR="002C10D5" w:rsidRPr="001532C4" w:rsidRDefault="002C10D5" w:rsidP="00394886">
      <w:pPr>
        <w:spacing w:after="0" w:line="360" w:lineRule="auto"/>
        <w:jc w:val="both"/>
        <w:rPr>
          <w:rFonts w:cstheme="minorHAnsi"/>
        </w:rPr>
      </w:pPr>
    </w:p>
    <w:p w14:paraId="5FD53312" w14:textId="523F8F4B" w:rsidR="00D132BF" w:rsidRPr="0051785D" w:rsidRDefault="005D3DFC" w:rsidP="00022B95">
      <w:pPr>
        <w:spacing w:after="0" w:line="360" w:lineRule="auto"/>
        <w:jc w:val="both"/>
        <w:rPr>
          <w:rFonts w:ascii="Times New Roman" w:hAnsi="Times New Roman" w:cs="Times New Roman"/>
        </w:rPr>
      </w:pPr>
      <w:r w:rsidRPr="0051785D">
        <w:rPr>
          <w:rFonts w:ascii="Times New Roman" w:hAnsi="Times New Roman" w:cs="Times New Roman"/>
        </w:rPr>
        <w:t xml:space="preserve">Aucune filière industrielle ne peut se dispenser d’une analyse </w:t>
      </w:r>
      <w:r w:rsidR="0051785D" w:rsidRPr="0051785D">
        <w:rPr>
          <w:rFonts w:ascii="Times New Roman" w:hAnsi="Times New Roman" w:cs="Times New Roman"/>
        </w:rPr>
        <w:t xml:space="preserve">portant </w:t>
      </w:r>
      <w:r w:rsidRPr="0051785D">
        <w:rPr>
          <w:rFonts w:ascii="Times New Roman" w:hAnsi="Times New Roman" w:cs="Times New Roman"/>
        </w:rPr>
        <w:t xml:space="preserve">sur la ressource. </w:t>
      </w:r>
      <w:r w:rsidR="00000BE3" w:rsidRPr="0051785D">
        <w:rPr>
          <w:rFonts w:ascii="Times New Roman" w:hAnsi="Times New Roman" w:cs="Times New Roman"/>
        </w:rPr>
        <w:t>Or en France cette réflexion n’existe pas</w:t>
      </w:r>
      <w:r w:rsidR="00D72127" w:rsidRPr="0051785D">
        <w:rPr>
          <w:rFonts w:ascii="Times New Roman" w:hAnsi="Times New Roman" w:cs="Times New Roman"/>
        </w:rPr>
        <w:t> :</w:t>
      </w:r>
      <w:r w:rsidR="00000BE3" w:rsidRPr="0051785D">
        <w:rPr>
          <w:rFonts w:ascii="Times New Roman" w:hAnsi="Times New Roman" w:cs="Times New Roman"/>
        </w:rPr>
        <w:t xml:space="preserve"> </w:t>
      </w:r>
      <w:r w:rsidR="005B329F" w:rsidRPr="0051785D">
        <w:rPr>
          <w:rFonts w:ascii="Times New Roman" w:hAnsi="Times New Roman" w:cs="Times New Roman"/>
        </w:rPr>
        <w:t>pour justifier l’arrêt des recherches sur les RNR de 4</w:t>
      </w:r>
      <w:r w:rsidR="005B329F" w:rsidRPr="0051785D">
        <w:rPr>
          <w:rFonts w:ascii="Times New Roman" w:hAnsi="Times New Roman" w:cs="Times New Roman"/>
          <w:vertAlign w:val="superscript"/>
        </w:rPr>
        <w:t>e</w:t>
      </w:r>
      <w:r w:rsidR="0051785D" w:rsidRPr="0051785D">
        <w:rPr>
          <w:rFonts w:ascii="Times New Roman" w:hAnsi="Times New Roman" w:cs="Times New Roman"/>
        </w:rPr>
        <w:t> </w:t>
      </w:r>
      <w:r w:rsidR="005B329F" w:rsidRPr="0051785D">
        <w:rPr>
          <w:rFonts w:ascii="Times New Roman" w:hAnsi="Times New Roman" w:cs="Times New Roman"/>
        </w:rPr>
        <w:t>génération</w:t>
      </w:r>
      <w:r w:rsidR="00761B0D" w:rsidRPr="0051785D">
        <w:rPr>
          <w:rFonts w:ascii="Times New Roman" w:hAnsi="Times New Roman" w:cs="Times New Roman"/>
        </w:rPr>
        <w:t xml:space="preserve">, </w:t>
      </w:r>
      <w:r w:rsidR="00886785" w:rsidRPr="0051785D">
        <w:rPr>
          <w:rFonts w:ascii="Times New Roman" w:hAnsi="Times New Roman" w:cs="Times New Roman"/>
        </w:rPr>
        <w:t xml:space="preserve">elle a été balayée </w:t>
      </w:r>
      <w:r w:rsidR="00000BE3" w:rsidRPr="0051785D">
        <w:rPr>
          <w:rFonts w:ascii="Times New Roman" w:hAnsi="Times New Roman" w:cs="Times New Roman"/>
        </w:rPr>
        <w:t>d’un revers de main par les dirigeants de la filière lors de récentes auditions parlementaires.</w:t>
      </w:r>
    </w:p>
    <w:p w14:paraId="2F654ADC" w14:textId="5DFA0829" w:rsidR="00022B95" w:rsidRPr="00B547CB" w:rsidRDefault="007F535A" w:rsidP="00022B95">
      <w:pPr>
        <w:spacing w:after="0" w:line="360" w:lineRule="auto"/>
        <w:jc w:val="both"/>
        <w:rPr>
          <w:rFonts w:ascii="Times New Roman" w:hAnsi="Times New Roman" w:cs="Times New Roman"/>
        </w:rPr>
      </w:pPr>
      <w:r w:rsidRPr="0051785D">
        <w:rPr>
          <w:rFonts w:ascii="Times New Roman" w:hAnsi="Times New Roman" w:cs="Times New Roman"/>
        </w:rPr>
        <w:t xml:space="preserve">Une telle désinvolture </w:t>
      </w:r>
      <w:r w:rsidR="005D3DFC" w:rsidRPr="0051785D">
        <w:rPr>
          <w:rFonts w:ascii="Times New Roman" w:hAnsi="Times New Roman" w:cs="Times New Roman"/>
        </w:rPr>
        <w:t>est inacceptable alors que notre pays dispose sur son sol de plusieurs centaines de milliers de tonnes d’uranium naturel (appauvri)</w:t>
      </w:r>
      <w:r w:rsidR="002926A0" w:rsidRPr="0051785D">
        <w:rPr>
          <w:rFonts w:ascii="Times New Roman" w:hAnsi="Times New Roman" w:cs="Times New Roman"/>
        </w:rPr>
        <w:t xml:space="preserve">, soit </w:t>
      </w:r>
      <w:r w:rsidR="0051785D" w:rsidRPr="0051785D">
        <w:rPr>
          <w:rFonts w:ascii="Times New Roman" w:hAnsi="Times New Roman" w:cs="Times New Roman"/>
        </w:rPr>
        <w:t>pratique</w:t>
      </w:r>
      <w:r w:rsidR="002926A0" w:rsidRPr="0051785D">
        <w:rPr>
          <w:rFonts w:ascii="Times New Roman" w:hAnsi="Times New Roman" w:cs="Times New Roman"/>
        </w:rPr>
        <w:t>ment de l’</w:t>
      </w:r>
      <w:r w:rsidR="0051785D" w:rsidRPr="0051785D">
        <w:rPr>
          <w:rFonts w:ascii="Times New Roman" w:hAnsi="Times New Roman" w:cs="Times New Roman"/>
        </w:rPr>
        <w:t>U</w:t>
      </w:r>
      <w:r w:rsidR="002926A0" w:rsidRPr="0051785D">
        <w:rPr>
          <w:rFonts w:ascii="Times New Roman" w:hAnsi="Times New Roman" w:cs="Times New Roman"/>
          <w:vertAlign w:val="superscript"/>
        </w:rPr>
        <w:t>238</w:t>
      </w:r>
      <w:r w:rsidR="002926A0" w:rsidRPr="0051785D">
        <w:rPr>
          <w:rFonts w:ascii="Times New Roman" w:hAnsi="Times New Roman" w:cs="Times New Roman"/>
        </w:rPr>
        <w:t xml:space="preserve"> à l’état pur,</w:t>
      </w:r>
      <w:r w:rsidR="00562FA3" w:rsidRPr="0051785D">
        <w:rPr>
          <w:rFonts w:ascii="Times New Roman" w:hAnsi="Times New Roman" w:cs="Times New Roman"/>
        </w:rPr>
        <w:t xml:space="preserve"> </w:t>
      </w:r>
      <w:r w:rsidR="005D3DFC" w:rsidRPr="0051785D">
        <w:rPr>
          <w:rFonts w:ascii="Times New Roman" w:hAnsi="Times New Roman" w:cs="Times New Roman"/>
        </w:rPr>
        <w:t xml:space="preserve">héritées de son histoire nucléaire, lui assurant des millénaires de production d’électricité </w:t>
      </w:r>
      <w:r w:rsidR="00EB74A9" w:rsidRPr="0051785D">
        <w:rPr>
          <w:rFonts w:ascii="Times New Roman" w:hAnsi="Times New Roman" w:cs="Times New Roman"/>
        </w:rPr>
        <w:t>à condition de disposer</w:t>
      </w:r>
      <w:r w:rsidR="005D3DFC" w:rsidRPr="0051785D">
        <w:rPr>
          <w:rFonts w:ascii="Times New Roman" w:hAnsi="Times New Roman" w:cs="Times New Roman"/>
        </w:rPr>
        <w:t xml:space="preserve"> de RNR de puissance.</w:t>
      </w:r>
      <w:r w:rsidR="00562FA3" w:rsidRPr="0051785D">
        <w:rPr>
          <w:rFonts w:ascii="Times New Roman" w:hAnsi="Times New Roman" w:cs="Times New Roman"/>
        </w:rPr>
        <w:t xml:space="preserve"> </w:t>
      </w:r>
      <w:r w:rsidR="002F4A5F" w:rsidRPr="0051785D">
        <w:rPr>
          <w:rFonts w:ascii="Times New Roman" w:hAnsi="Times New Roman" w:cs="Times New Roman"/>
        </w:rPr>
        <w:t xml:space="preserve">Grâce à </w:t>
      </w:r>
      <w:r w:rsidR="00AD7CC0" w:rsidRPr="0051785D">
        <w:rPr>
          <w:rFonts w:ascii="Times New Roman" w:hAnsi="Times New Roman" w:cs="Times New Roman"/>
        </w:rPr>
        <w:t>ces ressources stratégiques</w:t>
      </w:r>
      <w:r w:rsidR="002F4A5F" w:rsidRPr="0051785D">
        <w:rPr>
          <w:rFonts w:ascii="Times New Roman" w:hAnsi="Times New Roman" w:cs="Times New Roman"/>
        </w:rPr>
        <w:t>, que seule la France détient en Europe,</w:t>
      </w:r>
      <w:r w:rsidR="00562FA3" w:rsidRPr="0051785D">
        <w:rPr>
          <w:rFonts w:ascii="Times New Roman" w:hAnsi="Times New Roman" w:cs="Times New Roman"/>
        </w:rPr>
        <w:t xml:space="preserve"> </w:t>
      </w:r>
      <w:r w:rsidR="0051785D" w:rsidRPr="0051785D">
        <w:rPr>
          <w:rFonts w:ascii="Times New Roman" w:hAnsi="Times New Roman" w:cs="Times New Roman"/>
        </w:rPr>
        <w:t>notre pays</w:t>
      </w:r>
      <w:r w:rsidR="002F4A5F" w:rsidRPr="0051785D">
        <w:rPr>
          <w:rFonts w:ascii="Times New Roman" w:hAnsi="Times New Roman" w:cs="Times New Roman"/>
        </w:rPr>
        <w:t xml:space="preserve"> s’affranchirait </w:t>
      </w:r>
      <w:r w:rsidR="00AD7CC0" w:rsidRPr="0051785D">
        <w:rPr>
          <w:rFonts w:ascii="Times New Roman" w:hAnsi="Times New Roman" w:cs="Times New Roman"/>
        </w:rPr>
        <w:t xml:space="preserve">des risques géopolitiques grandissants d’approvisionnement extérieur. </w:t>
      </w:r>
      <w:r w:rsidR="00022B95" w:rsidRPr="0051785D">
        <w:rPr>
          <w:rFonts w:ascii="Times New Roman" w:hAnsi="Times New Roman" w:cs="Times New Roman"/>
        </w:rPr>
        <w:t xml:space="preserve">Par ailleurs, </w:t>
      </w:r>
      <w:r w:rsidR="00683C57" w:rsidRPr="00950001">
        <w:rPr>
          <w:rFonts w:ascii="Times New Roman" w:hAnsi="Times New Roman" w:cs="Times New Roman"/>
          <w:color w:val="0070C0"/>
        </w:rPr>
        <w:t xml:space="preserve">maîtrisant </w:t>
      </w:r>
      <w:r w:rsidR="00022B95" w:rsidRPr="00950001">
        <w:rPr>
          <w:rFonts w:ascii="Times New Roman" w:hAnsi="Times New Roman" w:cs="Times New Roman"/>
          <w:color w:val="0070C0"/>
        </w:rPr>
        <w:t>des compétences rares de retraitement du combustible</w:t>
      </w:r>
      <w:r w:rsidR="00683C57" w:rsidRPr="00950001">
        <w:rPr>
          <w:rFonts w:ascii="Times New Roman" w:hAnsi="Times New Roman" w:cs="Times New Roman"/>
          <w:color w:val="0070C0"/>
        </w:rPr>
        <w:t xml:space="preserve">, </w:t>
      </w:r>
      <w:r w:rsidR="0051785D" w:rsidRPr="00950001">
        <w:rPr>
          <w:rFonts w:ascii="Times New Roman" w:hAnsi="Times New Roman" w:cs="Times New Roman"/>
          <w:color w:val="0070C0"/>
        </w:rPr>
        <w:t>la France</w:t>
      </w:r>
      <w:r w:rsidR="00683C57" w:rsidRPr="00950001">
        <w:rPr>
          <w:rFonts w:ascii="Times New Roman" w:hAnsi="Times New Roman" w:cs="Times New Roman"/>
          <w:color w:val="0070C0"/>
        </w:rPr>
        <w:t xml:space="preserve"> est en mesure de </w:t>
      </w:r>
      <w:r w:rsidR="00022B95" w:rsidRPr="00950001">
        <w:rPr>
          <w:rFonts w:ascii="Times New Roman" w:hAnsi="Times New Roman" w:cs="Times New Roman"/>
          <w:color w:val="0070C0"/>
        </w:rPr>
        <w:t>valoriser le plutonium nécessaire au démarrage de plusieurs RNR surgénérateurs</w:t>
      </w:r>
      <w:r w:rsidR="0051785D" w:rsidRPr="00950001">
        <w:rPr>
          <w:rFonts w:ascii="Times New Roman" w:hAnsi="Times New Roman" w:cs="Times New Roman"/>
          <w:color w:val="0070C0"/>
        </w:rPr>
        <w:t> !</w:t>
      </w:r>
      <w:r w:rsidR="00B547CB">
        <w:rPr>
          <w:rFonts w:ascii="Times New Roman" w:hAnsi="Times New Roman" w:cs="Times New Roman"/>
        </w:rPr>
        <w:t xml:space="preserve"> </w:t>
      </w:r>
      <w:r w:rsidR="00B547CB" w:rsidRPr="00B547CB">
        <w:rPr>
          <w:rFonts w:ascii="Times New Roman" w:hAnsi="Times New Roman" w:cs="Times New Roman"/>
        </w:rPr>
        <w:t>Ajoutons qu’un réacteur surgénérateur est capable de produire plus de matière fissile qu’il n’en consomme</w:t>
      </w:r>
      <w:r w:rsidR="00B547CB">
        <w:rPr>
          <w:rFonts w:ascii="Times New Roman" w:hAnsi="Times New Roman" w:cs="Times New Roman"/>
        </w:rPr>
        <w:t>,</w:t>
      </w:r>
      <w:r w:rsidR="00B547CB" w:rsidRPr="00B547CB">
        <w:rPr>
          <w:rFonts w:ascii="Times New Roman" w:hAnsi="Times New Roman" w:cs="Times New Roman"/>
        </w:rPr>
        <w:t xml:space="preserve"> </w:t>
      </w:r>
      <w:r w:rsidR="00B547CB">
        <w:rPr>
          <w:rFonts w:ascii="Times New Roman" w:hAnsi="Times New Roman" w:cs="Times New Roman"/>
        </w:rPr>
        <w:t>c</w:t>
      </w:r>
      <w:r w:rsidR="00B547CB" w:rsidRPr="00B547CB">
        <w:rPr>
          <w:rFonts w:ascii="Times New Roman" w:hAnsi="Times New Roman" w:cs="Times New Roman"/>
        </w:rPr>
        <w:t>’est le cas du RNR si l’isotope fissile dans le combustible est le plutonium</w:t>
      </w:r>
      <w:r w:rsidR="00B547CB">
        <w:rPr>
          <w:rFonts w:ascii="Times New Roman" w:hAnsi="Times New Roman" w:cs="Times New Roman"/>
        </w:rPr>
        <w:t> </w:t>
      </w:r>
      <w:r w:rsidR="00B547CB" w:rsidRPr="00B547CB">
        <w:rPr>
          <w:rFonts w:ascii="Times New Roman" w:hAnsi="Times New Roman" w:cs="Times New Roman"/>
        </w:rPr>
        <w:t>239.</w:t>
      </w:r>
    </w:p>
    <w:p w14:paraId="74A5D317" w14:textId="6CB0E33B" w:rsidR="00D132BF" w:rsidRPr="0051785D" w:rsidRDefault="004253C9" w:rsidP="00394886">
      <w:pPr>
        <w:spacing w:after="0" w:line="360" w:lineRule="auto"/>
        <w:jc w:val="both"/>
        <w:rPr>
          <w:rFonts w:ascii="Times New Roman" w:hAnsi="Times New Roman" w:cs="Times New Roman"/>
        </w:rPr>
      </w:pPr>
      <w:r w:rsidRPr="0051785D">
        <w:rPr>
          <w:rFonts w:ascii="Times New Roman" w:hAnsi="Times New Roman" w:cs="Times New Roman"/>
        </w:rPr>
        <w:lastRenderedPageBreak/>
        <w:t xml:space="preserve">Contrairement à ce qu’on lit ou entend </w:t>
      </w:r>
      <w:r w:rsidR="00935E6A" w:rsidRPr="0051785D">
        <w:rPr>
          <w:rFonts w:ascii="Times New Roman" w:hAnsi="Times New Roman" w:cs="Times New Roman"/>
        </w:rPr>
        <w:t xml:space="preserve">trop </w:t>
      </w:r>
      <w:r w:rsidR="008A4F8C" w:rsidRPr="0051785D">
        <w:rPr>
          <w:rFonts w:ascii="Times New Roman" w:hAnsi="Times New Roman" w:cs="Times New Roman"/>
        </w:rPr>
        <w:t>souvent</w:t>
      </w:r>
      <w:r w:rsidRPr="0051785D">
        <w:rPr>
          <w:rFonts w:ascii="Times New Roman" w:hAnsi="Times New Roman" w:cs="Times New Roman"/>
        </w:rPr>
        <w:t xml:space="preserve">, utiliser </w:t>
      </w:r>
      <w:r w:rsidR="0051785D" w:rsidRPr="0051785D">
        <w:rPr>
          <w:rFonts w:ascii="Times New Roman" w:hAnsi="Times New Roman" w:cs="Times New Roman"/>
        </w:rPr>
        <w:t>l’U</w:t>
      </w:r>
      <w:r w:rsidRPr="0051785D">
        <w:rPr>
          <w:rFonts w:ascii="Times New Roman" w:hAnsi="Times New Roman" w:cs="Times New Roman"/>
          <w:vertAlign w:val="superscript"/>
        </w:rPr>
        <w:t>238</w:t>
      </w:r>
      <w:r w:rsidRPr="0051785D">
        <w:rPr>
          <w:rFonts w:ascii="Times New Roman" w:hAnsi="Times New Roman" w:cs="Times New Roman"/>
        </w:rPr>
        <w:t xml:space="preserve"> disponible </w:t>
      </w:r>
      <w:r w:rsidR="005E411D" w:rsidRPr="0051785D">
        <w:rPr>
          <w:rFonts w:ascii="Times New Roman" w:hAnsi="Times New Roman" w:cs="Times New Roman"/>
        </w:rPr>
        <w:t xml:space="preserve">sur le territoire français </w:t>
      </w:r>
      <w:r w:rsidRPr="0051785D">
        <w:rPr>
          <w:rFonts w:ascii="Times New Roman" w:hAnsi="Times New Roman" w:cs="Times New Roman"/>
        </w:rPr>
        <w:t xml:space="preserve">n’est pas utiliser les </w:t>
      </w:r>
      <w:r w:rsidR="0051785D" w:rsidRPr="0051785D">
        <w:rPr>
          <w:rFonts w:ascii="Times New Roman" w:hAnsi="Times New Roman" w:cs="Times New Roman"/>
        </w:rPr>
        <w:t>« </w:t>
      </w:r>
      <w:r w:rsidRPr="0051785D">
        <w:rPr>
          <w:rFonts w:ascii="Times New Roman" w:hAnsi="Times New Roman" w:cs="Times New Roman"/>
        </w:rPr>
        <w:t>déchets du nucléaire ».</w:t>
      </w:r>
      <w:r w:rsidR="00562FA3" w:rsidRPr="0051785D">
        <w:rPr>
          <w:rFonts w:ascii="Times New Roman" w:hAnsi="Times New Roman" w:cs="Times New Roman"/>
        </w:rPr>
        <w:t xml:space="preserve"> </w:t>
      </w:r>
      <w:r w:rsidR="006C13BD" w:rsidRPr="0051785D">
        <w:rPr>
          <w:rFonts w:ascii="Times New Roman" w:hAnsi="Times New Roman" w:cs="Times New Roman"/>
        </w:rPr>
        <w:t xml:space="preserve">Les </w:t>
      </w:r>
      <w:r w:rsidR="00951882" w:rsidRPr="0051785D">
        <w:rPr>
          <w:rFonts w:ascii="Times New Roman" w:hAnsi="Times New Roman" w:cs="Times New Roman"/>
        </w:rPr>
        <w:t>transuraniens et les produits de fission sont les déchets du parc de REP</w:t>
      </w:r>
      <w:r w:rsidR="000565BA" w:rsidRPr="0051785D">
        <w:rPr>
          <w:rFonts w:ascii="Times New Roman" w:hAnsi="Times New Roman" w:cs="Times New Roman"/>
        </w:rPr>
        <w:t xml:space="preserve"> actuel</w:t>
      </w:r>
      <w:r w:rsidR="006C13BD" w:rsidRPr="0051785D">
        <w:rPr>
          <w:rFonts w:ascii="Times New Roman" w:hAnsi="Times New Roman" w:cs="Times New Roman"/>
        </w:rPr>
        <w:t>. L</w:t>
      </w:r>
      <w:r w:rsidR="000565BA" w:rsidRPr="0051785D">
        <w:rPr>
          <w:rFonts w:ascii="Times New Roman" w:hAnsi="Times New Roman" w:cs="Times New Roman"/>
        </w:rPr>
        <w:t xml:space="preserve">’uranium </w:t>
      </w:r>
      <w:r w:rsidR="00C073AB" w:rsidRPr="0051785D">
        <w:rPr>
          <w:rFonts w:ascii="Times New Roman" w:hAnsi="Times New Roman" w:cs="Times New Roman"/>
        </w:rPr>
        <w:t xml:space="preserve">naturel </w:t>
      </w:r>
      <w:r w:rsidR="0051785D" w:rsidRPr="0051785D">
        <w:rPr>
          <w:rFonts w:ascii="Times New Roman" w:hAnsi="Times New Roman" w:cs="Times New Roman"/>
        </w:rPr>
        <w:t xml:space="preserve">– </w:t>
      </w:r>
      <w:r w:rsidR="00A15B0D" w:rsidRPr="0051785D">
        <w:rPr>
          <w:rFonts w:ascii="Times New Roman" w:hAnsi="Times New Roman" w:cs="Times New Roman"/>
        </w:rPr>
        <w:t>appauvri pour réaliser le combustible des REP à base d’uranium enrichi</w:t>
      </w:r>
      <w:r w:rsidR="0051785D" w:rsidRPr="0051785D">
        <w:rPr>
          <w:rFonts w:ascii="Times New Roman" w:hAnsi="Times New Roman" w:cs="Times New Roman"/>
        </w:rPr>
        <w:t xml:space="preserve"> –</w:t>
      </w:r>
      <w:r w:rsidR="00A15B0D" w:rsidRPr="0051785D">
        <w:rPr>
          <w:rFonts w:ascii="Times New Roman" w:hAnsi="Times New Roman" w:cs="Times New Roman"/>
        </w:rPr>
        <w:t xml:space="preserve"> a été </w:t>
      </w:r>
      <w:r w:rsidR="00E45F3F" w:rsidRPr="0051785D">
        <w:rPr>
          <w:rFonts w:ascii="Times New Roman" w:hAnsi="Times New Roman" w:cs="Times New Roman"/>
        </w:rPr>
        <w:t xml:space="preserve">laissé </w:t>
      </w:r>
      <w:r w:rsidR="00C073AB" w:rsidRPr="0051785D">
        <w:rPr>
          <w:rFonts w:ascii="Times New Roman" w:hAnsi="Times New Roman" w:cs="Times New Roman"/>
        </w:rPr>
        <w:t xml:space="preserve">à l’abandon </w:t>
      </w:r>
      <w:r w:rsidR="00E45F3F" w:rsidRPr="0051785D">
        <w:rPr>
          <w:rFonts w:ascii="Times New Roman" w:hAnsi="Times New Roman" w:cs="Times New Roman"/>
        </w:rPr>
        <w:t>car inutilisable dans un REP.</w:t>
      </w:r>
    </w:p>
    <w:p w14:paraId="7D27BDB3" w14:textId="081FF839" w:rsidR="00391BDD" w:rsidRPr="0051785D" w:rsidRDefault="004469D8" w:rsidP="00394886">
      <w:pPr>
        <w:spacing w:after="0" w:line="360" w:lineRule="auto"/>
        <w:jc w:val="both"/>
        <w:rPr>
          <w:rFonts w:ascii="Times New Roman" w:hAnsi="Times New Roman" w:cs="Times New Roman"/>
          <w:bCs/>
        </w:rPr>
      </w:pPr>
      <w:r w:rsidRPr="00950001">
        <w:rPr>
          <w:rFonts w:ascii="Times New Roman" w:hAnsi="Times New Roman" w:cs="Times New Roman"/>
          <w:bCs/>
          <w:color w:val="0070C0"/>
        </w:rPr>
        <w:t>La vraie technologie de la fission</w:t>
      </w:r>
      <w:r w:rsidR="00017C8C" w:rsidRPr="00950001">
        <w:rPr>
          <w:rFonts w:ascii="Times New Roman" w:hAnsi="Times New Roman" w:cs="Times New Roman"/>
          <w:bCs/>
          <w:color w:val="0070C0"/>
        </w:rPr>
        <w:t xml:space="preserve"> est le RNR </w:t>
      </w:r>
      <w:r w:rsidR="00017C8C" w:rsidRPr="0051785D">
        <w:rPr>
          <w:rFonts w:ascii="Times New Roman" w:hAnsi="Times New Roman" w:cs="Times New Roman"/>
          <w:bCs/>
        </w:rPr>
        <w:t>comme les physiciens l’ont démontré dès les années 1950</w:t>
      </w:r>
      <w:r w:rsidR="00B547CB">
        <w:rPr>
          <w:rFonts w:ascii="Times New Roman" w:hAnsi="Times New Roman" w:cs="Times New Roman"/>
          <w:bCs/>
        </w:rPr>
        <w:t>,</w:t>
      </w:r>
      <w:r w:rsidR="00017C8C" w:rsidRPr="0051785D">
        <w:rPr>
          <w:rFonts w:ascii="Times New Roman" w:hAnsi="Times New Roman" w:cs="Times New Roman"/>
          <w:bCs/>
        </w:rPr>
        <w:t xml:space="preserve"> </w:t>
      </w:r>
      <w:r w:rsidR="00017C8C" w:rsidRPr="00950001">
        <w:rPr>
          <w:rFonts w:ascii="Times New Roman" w:hAnsi="Times New Roman" w:cs="Times New Roman"/>
          <w:bCs/>
          <w:color w:val="0070C0"/>
        </w:rPr>
        <w:t>car il permet de fissionner tous les isotopes de l’uranium naturel</w:t>
      </w:r>
      <w:r w:rsidR="007E75AC" w:rsidRPr="00950001">
        <w:rPr>
          <w:rFonts w:ascii="Times New Roman" w:hAnsi="Times New Roman" w:cs="Times New Roman"/>
          <w:bCs/>
          <w:color w:val="0070C0"/>
        </w:rPr>
        <w:t>. Dit autrement</w:t>
      </w:r>
      <w:r w:rsidR="0051785D" w:rsidRPr="00950001">
        <w:rPr>
          <w:rFonts w:ascii="Times New Roman" w:hAnsi="Times New Roman" w:cs="Times New Roman"/>
          <w:bCs/>
          <w:color w:val="0070C0"/>
        </w:rPr>
        <w:t>,</w:t>
      </w:r>
      <w:r w:rsidR="007E75AC" w:rsidRPr="00950001">
        <w:rPr>
          <w:rFonts w:ascii="Times New Roman" w:hAnsi="Times New Roman" w:cs="Times New Roman"/>
          <w:bCs/>
          <w:color w:val="0070C0"/>
        </w:rPr>
        <w:t xml:space="preserve"> le RNR n’est pas un « brûleur de déchets » </w:t>
      </w:r>
      <w:r w:rsidR="00236F4D" w:rsidRPr="00950001">
        <w:rPr>
          <w:rFonts w:ascii="Times New Roman" w:hAnsi="Times New Roman" w:cs="Times New Roman"/>
          <w:bCs/>
          <w:color w:val="0070C0"/>
        </w:rPr>
        <w:t>mais</w:t>
      </w:r>
      <w:r w:rsidR="0051785D" w:rsidRPr="00950001">
        <w:rPr>
          <w:rFonts w:ascii="Times New Roman" w:hAnsi="Times New Roman" w:cs="Times New Roman"/>
          <w:bCs/>
          <w:color w:val="0070C0"/>
        </w:rPr>
        <w:t>,</w:t>
      </w:r>
      <w:r w:rsidR="00236F4D" w:rsidRPr="00950001">
        <w:rPr>
          <w:rFonts w:ascii="Times New Roman" w:hAnsi="Times New Roman" w:cs="Times New Roman"/>
          <w:bCs/>
          <w:color w:val="0070C0"/>
        </w:rPr>
        <w:t xml:space="preserve"> au contraire</w:t>
      </w:r>
      <w:r w:rsidR="0051785D" w:rsidRPr="00950001">
        <w:rPr>
          <w:rFonts w:ascii="Times New Roman" w:hAnsi="Times New Roman" w:cs="Times New Roman"/>
          <w:bCs/>
          <w:color w:val="0070C0"/>
        </w:rPr>
        <w:t>,</w:t>
      </w:r>
      <w:r w:rsidR="00236F4D" w:rsidRPr="00950001">
        <w:rPr>
          <w:rFonts w:ascii="Times New Roman" w:hAnsi="Times New Roman" w:cs="Times New Roman"/>
          <w:bCs/>
          <w:color w:val="0070C0"/>
        </w:rPr>
        <w:t xml:space="preserve"> le réacteur de fission optimisé de l’uranium</w:t>
      </w:r>
      <w:r w:rsidR="00D80489" w:rsidRPr="00950001">
        <w:rPr>
          <w:rFonts w:ascii="Times New Roman" w:hAnsi="Times New Roman" w:cs="Times New Roman"/>
          <w:bCs/>
          <w:color w:val="0070C0"/>
        </w:rPr>
        <w:t xml:space="preserve"> </w:t>
      </w:r>
      <w:r w:rsidR="00236F4D" w:rsidRPr="00950001">
        <w:rPr>
          <w:rFonts w:ascii="Times New Roman" w:hAnsi="Times New Roman" w:cs="Times New Roman"/>
          <w:bCs/>
          <w:color w:val="0070C0"/>
        </w:rPr>
        <w:t xml:space="preserve">naturel. </w:t>
      </w:r>
      <w:r w:rsidR="00D80489" w:rsidRPr="0051785D">
        <w:rPr>
          <w:rFonts w:ascii="Times New Roman" w:hAnsi="Times New Roman" w:cs="Times New Roman"/>
          <w:bCs/>
        </w:rPr>
        <w:t xml:space="preserve">C’est ce qui fait son intérêt </w:t>
      </w:r>
      <w:r w:rsidR="00D132BF" w:rsidRPr="0051785D">
        <w:rPr>
          <w:rFonts w:ascii="Times New Roman" w:hAnsi="Times New Roman" w:cs="Times New Roman"/>
          <w:bCs/>
        </w:rPr>
        <w:t xml:space="preserve">irremplaçable </w:t>
      </w:r>
      <w:r w:rsidR="00D80489" w:rsidRPr="0051785D">
        <w:rPr>
          <w:rFonts w:ascii="Times New Roman" w:hAnsi="Times New Roman" w:cs="Times New Roman"/>
          <w:bCs/>
        </w:rPr>
        <w:t>pour le nucléaire durable</w:t>
      </w:r>
      <w:r w:rsidR="00D132BF" w:rsidRPr="0051785D">
        <w:rPr>
          <w:rFonts w:ascii="Times New Roman" w:hAnsi="Times New Roman" w:cs="Times New Roman"/>
          <w:bCs/>
        </w:rPr>
        <w:t>, multipliant par</w:t>
      </w:r>
      <w:r w:rsidR="0042048D">
        <w:rPr>
          <w:rFonts w:ascii="Times New Roman" w:hAnsi="Times New Roman" w:cs="Times New Roman"/>
          <w:bCs/>
        </w:rPr>
        <w:t> </w:t>
      </w:r>
      <w:r w:rsidR="00D132BF" w:rsidRPr="0051785D">
        <w:rPr>
          <w:rFonts w:ascii="Times New Roman" w:hAnsi="Times New Roman" w:cs="Times New Roman"/>
          <w:bCs/>
        </w:rPr>
        <w:t xml:space="preserve">140 </w:t>
      </w:r>
      <w:r w:rsidR="00D07A93" w:rsidRPr="00481AD5">
        <w:rPr>
          <w:rFonts w:ascii="Times New Roman" w:hAnsi="Times New Roman" w:cs="Times New Roman"/>
          <w:bCs/>
        </w:rPr>
        <w:t>(</w:t>
      </w:r>
      <w:r w:rsidR="00481AD5" w:rsidRPr="00481AD5">
        <w:rPr>
          <w:rFonts w:ascii="Times New Roman" w:hAnsi="Times New Roman" w:cs="Times New Roman"/>
          <w:bCs/>
        </w:rPr>
        <w:t>soit</w:t>
      </w:r>
      <w:r w:rsidR="0022485E">
        <w:rPr>
          <w:rFonts w:ascii="Times New Roman" w:hAnsi="Times New Roman" w:cs="Times New Roman"/>
          <w:bCs/>
        </w:rPr>
        <w:t> </w:t>
      </w:r>
      <w:r w:rsidR="00D07A93" w:rsidRPr="00481AD5">
        <w:rPr>
          <w:rFonts w:ascii="Times New Roman" w:hAnsi="Times New Roman" w:cs="Times New Roman"/>
          <w:bCs/>
        </w:rPr>
        <w:t>99</w:t>
      </w:r>
      <w:r w:rsidR="00B72B08" w:rsidRPr="00481AD5">
        <w:rPr>
          <w:rFonts w:ascii="Times New Roman" w:hAnsi="Times New Roman" w:cs="Times New Roman"/>
          <w:bCs/>
        </w:rPr>
        <w:t>,3/0,7)</w:t>
      </w:r>
      <w:r w:rsidR="00B72B08" w:rsidRPr="0051785D">
        <w:rPr>
          <w:rFonts w:ascii="Times New Roman" w:hAnsi="Times New Roman" w:cs="Times New Roman"/>
          <w:bCs/>
        </w:rPr>
        <w:t xml:space="preserve"> </w:t>
      </w:r>
      <w:r w:rsidR="00D132BF" w:rsidRPr="0051785D">
        <w:rPr>
          <w:rFonts w:ascii="Times New Roman" w:hAnsi="Times New Roman" w:cs="Times New Roman"/>
          <w:bCs/>
        </w:rPr>
        <w:t>la matière fissible disponible</w:t>
      </w:r>
      <w:r w:rsidR="0022485E">
        <w:rPr>
          <w:rFonts w:ascii="Times New Roman" w:hAnsi="Times New Roman" w:cs="Times New Roman"/>
          <w:bCs/>
        </w:rPr>
        <w:t>.</w:t>
      </w:r>
    </w:p>
    <w:p w14:paraId="7175D3A3" w14:textId="77777777" w:rsidR="00AA3807" w:rsidRPr="00984E35" w:rsidRDefault="00AA3807" w:rsidP="00394886">
      <w:pPr>
        <w:spacing w:after="0" w:line="360" w:lineRule="auto"/>
        <w:jc w:val="both"/>
        <w:rPr>
          <w:rFonts w:cstheme="minorHAnsi"/>
        </w:rPr>
      </w:pPr>
    </w:p>
    <w:p w14:paraId="03E81AB1" w14:textId="743644A6" w:rsidR="005A0A9B" w:rsidRPr="000D58EF" w:rsidRDefault="0042048D" w:rsidP="00394886">
      <w:pPr>
        <w:spacing w:after="0" w:line="360" w:lineRule="auto"/>
        <w:jc w:val="both"/>
        <w:rPr>
          <w:rFonts w:ascii="Times New Roman" w:hAnsi="Times New Roman" w:cs="Times New Roman"/>
          <w:b/>
          <w:bCs/>
        </w:rPr>
      </w:pPr>
      <w:r w:rsidRPr="000D58EF">
        <w:rPr>
          <w:rFonts w:ascii="Times New Roman" w:hAnsi="Times New Roman" w:cs="Times New Roman"/>
          <w:b/>
          <w:bCs/>
        </w:rPr>
        <w:t xml:space="preserve">POUR FAIRE FACE AUX CRISES </w:t>
      </w:r>
      <w:r w:rsidR="00CA6C40">
        <w:rPr>
          <w:rFonts w:ascii="Times New Roman" w:hAnsi="Times New Roman" w:cs="Times New Roman"/>
          <w:b/>
          <w:bCs/>
        </w:rPr>
        <w:t>É</w:t>
      </w:r>
      <w:r w:rsidRPr="000D58EF">
        <w:rPr>
          <w:rFonts w:ascii="Times New Roman" w:hAnsi="Times New Roman" w:cs="Times New Roman"/>
          <w:b/>
          <w:bCs/>
        </w:rPr>
        <w:t>NERG</w:t>
      </w:r>
      <w:r w:rsidR="00CA6C40">
        <w:rPr>
          <w:rFonts w:ascii="Times New Roman" w:hAnsi="Times New Roman" w:cs="Times New Roman"/>
          <w:b/>
          <w:bCs/>
        </w:rPr>
        <w:t>É</w:t>
      </w:r>
      <w:r w:rsidRPr="000D58EF">
        <w:rPr>
          <w:rFonts w:ascii="Times New Roman" w:hAnsi="Times New Roman" w:cs="Times New Roman"/>
          <w:b/>
          <w:bCs/>
        </w:rPr>
        <w:t>TIQUE ET CLIMATIQUE</w:t>
      </w:r>
    </w:p>
    <w:p w14:paraId="609E652C" w14:textId="1EFF7692" w:rsidR="00CB74B9" w:rsidRPr="000D58EF" w:rsidRDefault="00B547CB" w:rsidP="00CB74B9">
      <w:pPr>
        <w:spacing w:after="0" w:line="360" w:lineRule="auto"/>
        <w:jc w:val="both"/>
        <w:rPr>
          <w:rFonts w:ascii="Times New Roman" w:hAnsi="Times New Roman" w:cs="Times New Roman"/>
        </w:rPr>
      </w:pPr>
      <w:r w:rsidRPr="00B547CB">
        <w:rPr>
          <w:rFonts w:ascii="Times New Roman" w:hAnsi="Times New Roman" w:cs="Times New Roman"/>
        </w:rPr>
        <w:t>Du fait de son histoire, la France dispose de plusieurs centaines de milliers de tonnes d’uranium appauvri et de plusieurs centaines de tonnes de plutonium en partie confiné dans le combustible usé.</w:t>
      </w:r>
      <w:r>
        <w:rPr>
          <w:rFonts w:cstheme="minorHAnsi"/>
          <w:sz w:val="18"/>
          <w:szCs w:val="18"/>
        </w:rPr>
        <w:t xml:space="preserve"> </w:t>
      </w:r>
      <w:r w:rsidR="004713F0" w:rsidRPr="000D58EF">
        <w:rPr>
          <w:rFonts w:ascii="Times New Roman" w:hAnsi="Times New Roman" w:cs="Times New Roman"/>
        </w:rPr>
        <w:t>S</w:t>
      </w:r>
      <w:r w:rsidR="0018463F" w:rsidRPr="000D58EF">
        <w:rPr>
          <w:rFonts w:ascii="Times New Roman" w:hAnsi="Times New Roman" w:cs="Times New Roman"/>
        </w:rPr>
        <w:t xml:space="preserve">ur la base de son </w:t>
      </w:r>
      <w:r w:rsidRPr="000D58EF">
        <w:rPr>
          <w:rFonts w:ascii="Times New Roman" w:hAnsi="Times New Roman" w:cs="Times New Roman"/>
        </w:rPr>
        <w:t xml:space="preserve">actuel </w:t>
      </w:r>
      <w:r w:rsidR="0018463F" w:rsidRPr="000D58EF">
        <w:rPr>
          <w:rFonts w:ascii="Times New Roman" w:hAnsi="Times New Roman" w:cs="Times New Roman"/>
        </w:rPr>
        <w:t xml:space="preserve">stock de matières, </w:t>
      </w:r>
      <w:r w:rsidR="00D2125F" w:rsidRPr="000D58EF">
        <w:rPr>
          <w:rFonts w:ascii="Times New Roman" w:hAnsi="Times New Roman" w:cs="Times New Roman"/>
        </w:rPr>
        <w:t xml:space="preserve">si </w:t>
      </w:r>
      <w:r>
        <w:rPr>
          <w:rFonts w:ascii="Times New Roman" w:hAnsi="Times New Roman" w:cs="Times New Roman"/>
        </w:rPr>
        <w:t>le pays</w:t>
      </w:r>
      <w:r w:rsidR="004713F0" w:rsidRPr="000D58EF">
        <w:rPr>
          <w:rFonts w:ascii="Times New Roman" w:hAnsi="Times New Roman" w:cs="Times New Roman"/>
        </w:rPr>
        <w:t xml:space="preserve"> </w:t>
      </w:r>
      <w:r w:rsidR="006E51EC" w:rsidRPr="000D58EF">
        <w:rPr>
          <w:rFonts w:ascii="Times New Roman" w:hAnsi="Times New Roman" w:cs="Times New Roman"/>
        </w:rPr>
        <w:t xml:space="preserve">mettait </w:t>
      </w:r>
      <w:r w:rsidR="00D2125F" w:rsidRPr="000D58EF">
        <w:rPr>
          <w:rFonts w:ascii="Times New Roman" w:hAnsi="Times New Roman" w:cs="Times New Roman"/>
        </w:rPr>
        <w:t>en œuvre un parc de RNR,</w:t>
      </w:r>
      <w:r w:rsidR="00A628BC" w:rsidRPr="000D58EF">
        <w:rPr>
          <w:rFonts w:ascii="Times New Roman" w:hAnsi="Times New Roman" w:cs="Times New Roman"/>
        </w:rPr>
        <w:t xml:space="preserve"> </w:t>
      </w:r>
      <w:r>
        <w:rPr>
          <w:rFonts w:ascii="Times New Roman" w:hAnsi="Times New Roman" w:cs="Times New Roman"/>
        </w:rPr>
        <w:t>il</w:t>
      </w:r>
      <w:r w:rsidR="00FC7B75" w:rsidRPr="000D58EF">
        <w:rPr>
          <w:rFonts w:ascii="Times New Roman" w:hAnsi="Times New Roman" w:cs="Times New Roman"/>
        </w:rPr>
        <w:t xml:space="preserve"> </w:t>
      </w:r>
      <w:r w:rsidR="0018463F" w:rsidRPr="000D58EF">
        <w:rPr>
          <w:rFonts w:ascii="Times New Roman" w:hAnsi="Times New Roman" w:cs="Times New Roman"/>
        </w:rPr>
        <w:t>dispose</w:t>
      </w:r>
      <w:r w:rsidR="006E51EC" w:rsidRPr="000D58EF">
        <w:rPr>
          <w:rFonts w:ascii="Times New Roman" w:hAnsi="Times New Roman" w:cs="Times New Roman"/>
        </w:rPr>
        <w:t>rait</w:t>
      </w:r>
      <w:r w:rsidR="0018463F" w:rsidRPr="000D58EF">
        <w:rPr>
          <w:rFonts w:ascii="Times New Roman" w:hAnsi="Times New Roman" w:cs="Times New Roman"/>
        </w:rPr>
        <w:t xml:space="preserve"> d’une </w:t>
      </w:r>
      <w:r w:rsidR="00A628BC" w:rsidRPr="000D58EF">
        <w:rPr>
          <w:rFonts w:ascii="Times New Roman" w:hAnsi="Times New Roman" w:cs="Times New Roman"/>
        </w:rPr>
        <w:t>autonomie énergétique de plusieurs millénaires</w:t>
      </w:r>
      <w:r w:rsidR="00FC7B75" w:rsidRPr="000D58EF">
        <w:rPr>
          <w:rFonts w:ascii="Times New Roman" w:hAnsi="Times New Roman" w:cs="Times New Roman"/>
        </w:rPr>
        <w:t xml:space="preserve">, lui permettant </w:t>
      </w:r>
      <w:r w:rsidR="00CA6C40">
        <w:rPr>
          <w:rFonts w:ascii="Times New Roman" w:hAnsi="Times New Roman" w:cs="Times New Roman"/>
        </w:rPr>
        <w:t xml:space="preserve">et </w:t>
      </w:r>
      <w:r w:rsidR="00FC7B75" w:rsidRPr="000D58EF">
        <w:rPr>
          <w:rFonts w:ascii="Times New Roman" w:hAnsi="Times New Roman" w:cs="Times New Roman"/>
        </w:rPr>
        <w:t>de</w:t>
      </w:r>
      <w:r w:rsidR="00CB74B9" w:rsidRPr="000D58EF">
        <w:rPr>
          <w:rFonts w:ascii="Times New Roman" w:hAnsi="Times New Roman" w:cs="Times New Roman"/>
        </w:rPr>
        <w:t xml:space="preserve"> lutter contre le réchauffement climatique et </w:t>
      </w:r>
      <w:r w:rsidR="00774364" w:rsidRPr="000D58EF">
        <w:rPr>
          <w:rFonts w:ascii="Times New Roman" w:hAnsi="Times New Roman" w:cs="Times New Roman"/>
        </w:rPr>
        <w:t xml:space="preserve">de </w:t>
      </w:r>
      <w:r w:rsidR="00CB74B9" w:rsidRPr="000D58EF">
        <w:rPr>
          <w:rFonts w:ascii="Times New Roman" w:hAnsi="Times New Roman" w:cs="Times New Roman"/>
        </w:rPr>
        <w:t xml:space="preserve">disposer de l’énergie </w:t>
      </w:r>
      <w:r w:rsidR="00774364" w:rsidRPr="000D58EF">
        <w:rPr>
          <w:rFonts w:ascii="Times New Roman" w:hAnsi="Times New Roman" w:cs="Times New Roman"/>
        </w:rPr>
        <w:t xml:space="preserve">considérable qui sera </w:t>
      </w:r>
      <w:r w:rsidR="00CB74B9" w:rsidRPr="000D58EF">
        <w:rPr>
          <w:rFonts w:ascii="Times New Roman" w:hAnsi="Times New Roman" w:cs="Times New Roman"/>
        </w:rPr>
        <w:t xml:space="preserve">nécessaire à l’adaptation </w:t>
      </w:r>
      <w:r w:rsidR="00FF20CF" w:rsidRPr="000D58EF">
        <w:rPr>
          <w:rFonts w:ascii="Times New Roman" w:hAnsi="Times New Roman" w:cs="Times New Roman"/>
        </w:rPr>
        <w:t>à des</w:t>
      </w:r>
      <w:r w:rsidR="00CB74B9" w:rsidRPr="000D58EF">
        <w:rPr>
          <w:rFonts w:ascii="Times New Roman" w:hAnsi="Times New Roman" w:cs="Times New Roman"/>
        </w:rPr>
        <w:t xml:space="preserve"> crises successives.</w:t>
      </w:r>
    </w:p>
    <w:p w14:paraId="257E3DD2" w14:textId="129A5171" w:rsidR="00020E0E" w:rsidRPr="000D58EF" w:rsidRDefault="00A745BD" w:rsidP="00394886">
      <w:pPr>
        <w:spacing w:after="0" w:line="360" w:lineRule="auto"/>
        <w:jc w:val="both"/>
        <w:rPr>
          <w:rFonts w:ascii="Times New Roman" w:hAnsi="Times New Roman" w:cs="Times New Roman"/>
        </w:rPr>
      </w:pPr>
      <w:r w:rsidRPr="000D58EF">
        <w:rPr>
          <w:rFonts w:ascii="Times New Roman" w:hAnsi="Times New Roman" w:cs="Times New Roman"/>
        </w:rPr>
        <w:t xml:space="preserve">De plus, les RNR </w:t>
      </w:r>
      <w:r w:rsidR="006672A0" w:rsidRPr="000D58EF">
        <w:rPr>
          <w:rFonts w:ascii="Times New Roman" w:hAnsi="Times New Roman" w:cs="Times New Roman"/>
        </w:rPr>
        <w:t>comporte</w:t>
      </w:r>
      <w:r w:rsidR="009B190B" w:rsidRPr="000D58EF">
        <w:rPr>
          <w:rFonts w:ascii="Times New Roman" w:hAnsi="Times New Roman" w:cs="Times New Roman"/>
        </w:rPr>
        <w:t>nt</w:t>
      </w:r>
      <w:r w:rsidR="006672A0" w:rsidRPr="000D58EF">
        <w:rPr>
          <w:rFonts w:ascii="Times New Roman" w:hAnsi="Times New Roman" w:cs="Times New Roman"/>
        </w:rPr>
        <w:t xml:space="preserve"> </w:t>
      </w:r>
      <w:r w:rsidR="00622FEC" w:rsidRPr="000D58EF">
        <w:rPr>
          <w:rFonts w:ascii="Times New Roman" w:hAnsi="Times New Roman" w:cs="Times New Roman"/>
        </w:rPr>
        <w:t xml:space="preserve">intrinsèquement des avantages </w:t>
      </w:r>
      <w:r w:rsidR="006E0533" w:rsidRPr="000D58EF">
        <w:rPr>
          <w:rFonts w:ascii="Times New Roman" w:hAnsi="Times New Roman" w:cs="Times New Roman"/>
        </w:rPr>
        <w:t xml:space="preserve">directement </w:t>
      </w:r>
      <w:r w:rsidR="009F0602" w:rsidRPr="000D58EF">
        <w:rPr>
          <w:rFonts w:ascii="Times New Roman" w:hAnsi="Times New Roman" w:cs="Times New Roman"/>
        </w:rPr>
        <w:t xml:space="preserve">liés </w:t>
      </w:r>
      <w:r w:rsidR="006E0533" w:rsidRPr="000D58EF">
        <w:rPr>
          <w:rFonts w:ascii="Times New Roman" w:hAnsi="Times New Roman" w:cs="Times New Roman"/>
        </w:rPr>
        <w:t>à l’efficience du processus de fission sous flux de neutrons rapides</w:t>
      </w:r>
      <w:r w:rsidR="0042048D" w:rsidRPr="000D58EF">
        <w:rPr>
          <w:rFonts w:ascii="Times New Roman" w:hAnsi="Times New Roman" w:cs="Times New Roman"/>
        </w:rPr>
        <w:t>, à savoir</w:t>
      </w:r>
      <w:r w:rsidR="009F0602" w:rsidRPr="000D58EF">
        <w:rPr>
          <w:rFonts w:ascii="Times New Roman" w:hAnsi="Times New Roman" w:cs="Times New Roman"/>
        </w:rPr>
        <w:t> :</w:t>
      </w:r>
    </w:p>
    <w:p w14:paraId="12193A2A" w14:textId="1BCCC85C" w:rsidR="00AD044F" w:rsidRPr="000D58EF" w:rsidRDefault="0042048D" w:rsidP="0042048D">
      <w:pPr>
        <w:pStyle w:val="Titre2"/>
        <w:spacing w:before="0" w:after="0" w:line="360" w:lineRule="auto"/>
        <w:jc w:val="both"/>
        <w:rPr>
          <w:rFonts w:ascii="Times New Roman" w:hAnsi="Times New Roman" w:cs="Times New Roman"/>
          <w:b w:val="0"/>
          <w:i w:val="0"/>
          <w:sz w:val="22"/>
          <w:szCs w:val="22"/>
        </w:rPr>
      </w:pPr>
      <w:r w:rsidRPr="00CA6C40">
        <w:rPr>
          <w:rFonts w:ascii="Times New Roman" w:hAnsi="Times New Roman" w:cs="Times New Roman"/>
          <w:bCs w:val="0"/>
          <w:i w:val="0"/>
          <w:iCs/>
          <w:sz w:val="22"/>
          <w:szCs w:val="22"/>
        </w:rPr>
        <w:t>1.</w:t>
      </w:r>
      <w:r w:rsidRPr="000D58EF">
        <w:rPr>
          <w:rFonts w:ascii="Times New Roman" w:hAnsi="Times New Roman" w:cs="Times New Roman"/>
          <w:b w:val="0"/>
          <w:bCs w:val="0"/>
          <w:i w:val="0"/>
          <w:iCs/>
          <w:sz w:val="22"/>
          <w:szCs w:val="22"/>
        </w:rPr>
        <w:t> D</w:t>
      </w:r>
      <w:r w:rsidR="003F4051" w:rsidRPr="000D58EF">
        <w:rPr>
          <w:rFonts w:ascii="Times New Roman" w:hAnsi="Times New Roman" w:cs="Times New Roman"/>
          <w:b w:val="0"/>
          <w:bCs w:val="0"/>
          <w:i w:val="0"/>
          <w:iCs/>
          <w:sz w:val="22"/>
          <w:szCs w:val="22"/>
        </w:rPr>
        <w:t xml:space="preserve">ans un </w:t>
      </w:r>
      <w:r w:rsidR="009F0602" w:rsidRPr="000D58EF">
        <w:rPr>
          <w:rFonts w:ascii="Times New Roman" w:hAnsi="Times New Roman" w:cs="Times New Roman"/>
          <w:b w:val="0"/>
          <w:bCs w:val="0"/>
          <w:i w:val="0"/>
          <w:iCs/>
          <w:sz w:val="22"/>
          <w:szCs w:val="22"/>
        </w:rPr>
        <w:t xml:space="preserve">RNR </w:t>
      </w:r>
      <w:r w:rsidR="003F4051" w:rsidRPr="000D58EF">
        <w:rPr>
          <w:rFonts w:ascii="Times New Roman" w:hAnsi="Times New Roman" w:cs="Times New Roman"/>
          <w:b w:val="0"/>
          <w:bCs w:val="0"/>
          <w:i w:val="0"/>
          <w:iCs/>
          <w:sz w:val="22"/>
          <w:szCs w:val="22"/>
        </w:rPr>
        <w:t xml:space="preserve">refroidi au sodium, la vapeur est produite à haute température, donnant à la production d’électricité un rendement thermodynamique </w:t>
      </w:r>
      <w:r w:rsidR="00B35E3F" w:rsidRPr="000D58EF">
        <w:rPr>
          <w:rFonts w:ascii="Times New Roman" w:hAnsi="Times New Roman" w:cs="Times New Roman"/>
          <w:b w:val="0"/>
          <w:bCs w:val="0"/>
          <w:i w:val="0"/>
          <w:iCs/>
          <w:sz w:val="22"/>
          <w:szCs w:val="22"/>
        </w:rPr>
        <w:t xml:space="preserve">de </w:t>
      </w:r>
      <w:r w:rsidR="005732C0" w:rsidRPr="000D58EF">
        <w:rPr>
          <w:rFonts w:ascii="Times New Roman" w:hAnsi="Times New Roman" w:cs="Times New Roman"/>
          <w:b w:val="0"/>
          <w:bCs w:val="0"/>
          <w:i w:val="0"/>
          <w:iCs/>
          <w:sz w:val="22"/>
          <w:szCs w:val="22"/>
        </w:rPr>
        <w:t>43 %</w:t>
      </w:r>
      <w:r w:rsidR="00487F68" w:rsidRPr="000D58EF">
        <w:rPr>
          <w:rFonts w:ascii="Times New Roman" w:hAnsi="Times New Roman" w:cs="Times New Roman"/>
          <w:b w:val="0"/>
          <w:bCs w:val="0"/>
          <w:i w:val="0"/>
          <w:iCs/>
          <w:sz w:val="22"/>
          <w:szCs w:val="22"/>
        </w:rPr>
        <w:t xml:space="preserve">, à comparer </w:t>
      </w:r>
      <w:r w:rsidRPr="000D58EF">
        <w:rPr>
          <w:rFonts w:ascii="Times New Roman" w:hAnsi="Times New Roman" w:cs="Times New Roman"/>
          <w:b w:val="0"/>
          <w:bCs w:val="0"/>
          <w:i w:val="0"/>
          <w:iCs/>
          <w:sz w:val="22"/>
          <w:szCs w:val="22"/>
        </w:rPr>
        <w:t>aux</w:t>
      </w:r>
      <w:r w:rsidR="00487F68" w:rsidRPr="000D58EF">
        <w:rPr>
          <w:rFonts w:ascii="Times New Roman" w:hAnsi="Times New Roman" w:cs="Times New Roman"/>
          <w:b w:val="0"/>
          <w:bCs w:val="0"/>
          <w:i w:val="0"/>
          <w:iCs/>
          <w:sz w:val="22"/>
          <w:szCs w:val="22"/>
        </w:rPr>
        <w:t xml:space="preserve"> </w:t>
      </w:r>
      <w:r w:rsidR="004F4EC6" w:rsidRPr="000D58EF">
        <w:rPr>
          <w:rFonts w:ascii="Times New Roman" w:hAnsi="Times New Roman" w:cs="Times New Roman"/>
          <w:b w:val="0"/>
          <w:bCs w:val="0"/>
          <w:i w:val="0"/>
          <w:iCs/>
          <w:sz w:val="22"/>
          <w:szCs w:val="22"/>
        </w:rPr>
        <w:t>33</w:t>
      </w:r>
      <w:r w:rsidR="005732C0" w:rsidRPr="000D58EF">
        <w:rPr>
          <w:rFonts w:ascii="Times New Roman" w:hAnsi="Times New Roman" w:cs="Times New Roman"/>
          <w:b w:val="0"/>
          <w:bCs w:val="0"/>
          <w:i w:val="0"/>
          <w:iCs/>
          <w:sz w:val="22"/>
          <w:szCs w:val="22"/>
        </w:rPr>
        <w:t> %</w:t>
      </w:r>
      <w:r w:rsidR="004F4EC6" w:rsidRPr="000D58EF">
        <w:rPr>
          <w:rFonts w:ascii="Times New Roman" w:hAnsi="Times New Roman" w:cs="Times New Roman"/>
          <w:b w:val="0"/>
          <w:bCs w:val="0"/>
          <w:i w:val="0"/>
          <w:iCs/>
          <w:sz w:val="22"/>
          <w:szCs w:val="22"/>
        </w:rPr>
        <w:t xml:space="preserve"> pour un REP</w:t>
      </w:r>
      <w:r w:rsidR="003F4051" w:rsidRPr="000D58EF">
        <w:rPr>
          <w:rStyle w:val="Appelnotedebasdep"/>
          <w:rFonts w:ascii="Times New Roman" w:hAnsi="Times New Roman" w:cs="Times New Roman"/>
          <w:b w:val="0"/>
          <w:bCs w:val="0"/>
          <w:i w:val="0"/>
          <w:iCs/>
          <w:sz w:val="22"/>
          <w:szCs w:val="22"/>
          <w:highlight w:val="red"/>
        </w:rPr>
        <w:footnoteReference w:id="8"/>
      </w:r>
      <w:r w:rsidRPr="000D58EF">
        <w:rPr>
          <w:rFonts w:ascii="Times New Roman" w:hAnsi="Times New Roman" w:cs="Times New Roman"/>
          <w:b w:val="0"/>
          <w:bCs w:val="0"/>
          <w:i w:val="0"/>
          <w:iCs/>
          <w:sz w:val="22"/>
          <w:szCs w:val="22"/>
        </w:rPr>
        <w:t>.</w:t>
      </w:r>
    </w:p>
    <w:p w14:paraId="571F1498" w14:textId="5609E17C" w:rsidR="005133F5" w:rsidRPr="000D58EF" w:rsidRDefault="0042048D" w:rsidP="0042048D">
      <w:pPr>
        <w:spacing w:after="0" w:line="360" w:lineRule="auto"/>
        <w:jc w:val="both"/>
        <w:rPr>
          <w:rFonts w:ascii="Times New Roman" w:hAnsi="Times New Roman" w:cs="Times New Roman"/>
        </w:rPr>
      </w:pPr>
      <w:r w:rsidRPr="000D58EF">
        <w:rPr>
          <w:rFonts w:ascii="Times New Roman" w:hAnsi="Times New Roman" w:cs="Times New Roman"/>
          <w:b/>
          <w:bCs/>
          <w:iCs/>
        </w:rPr>
        <w:t>2.</w:t>
      </w:r>
      <w:r w:rsidRPr="000D58EF">
        <w:rPr>
          <w:rFonts w:ascii="Times New Roman" w:hAnsi="Times New Roman" w:cs="Times New Roman"/>
          <w:b/>
          <w:bCs/>
          <w:i/>
          <w:iCs/>
        </w:rPr>
        <w:t> </w:t>
      </w:r>
      <w:r w:rsidRPr="000D58EF">
        <w:rPr>
          <w:rFonts w:ascii="Times New Roman" w:hAnsi="Times New Roman" w:cs="Times New Roman"/>
        </w:rPr>
        <w:t>Q</w:t>
      </w:r>
      <w:r w:rsidR="005133F5" w:rsidRPr="000D58EF">
        <w:rPr>
          <w:rFonts w:ascii="Times New Roman" w:hAnsi="Times New Roman" w:cs="Times New Roman"/>
        </w:rPr>
        <w:t xml:space="preserve">uand les neutrons sont très énergétiques, la fission libère au moins </w:t>
      </w:r>
      <w:r w:rsidR="00B329B8" w:rsidRPr="000D58EF">
        <w:rPr>
          <w:rFonts w:ascii="Times New Roman" w:hAnsi="Times New Roman" w:cs="Times New Roman"/>
        </w:rPr>
        <w:t>3</w:t>
      </w:r>
      <w:r w:rsidRPr="000D58EF">
        <w:rPr>
          <w:rFonts w:ascii="Times New Roman" w:hAnsi="Times New Roman" w:cs="Times New Roman"/>
        </w:rPr>
        <w:t> </w:t>
      </w:r>
      <w:r w:rsidR="005133F5" w:rsidRPr="000D58EF">
        <w:rPr>
          <w:rFonts w:ascii="Times New Roman" w:hAnsi="Times New Roman" w:cs="Times New Roman"/>
        </w:rPr>
        <w:t>neutrons, à comparer aux 2,4</w:t>
      </w:r>
      <w:r w:rsidRPr="000D58EF">
        <w:rPr>
          <w:rFonts w:ascii="Times New Roman" w:hAnsi="Times New Roman" w:cs="Times New Roman"/>
        </w:rPr>
        <w:t> </w:t>
      </w:r>
      <w:r w:rsidR="005133F5" w:rsidRPr="000D58EF">
        <w:rPr>
          <w:rFonts w:ascii="Times New Roman" w:hAnsi="Times New Roman" w:cs="Times New Roman"/>
        </w:rPr>
        <w:t xml:space="preserve">neutrons produits en moyenne lors d’une fission par neutrons lents. </w:t>
      </w:r>
      <w:r w:rsidR="006F17F8" w:rsidRPr="000D58EF">
        <w:rPr>
          <w:rFonts w:ascii="Times New Roman" w:hAnsi="Times New Roman" w:cs="Times New Roman"/>
        </w:rPr>
        <w:t>En conséquence, d</w:t>
      </w:r>
      <w:r w:rsidR="005133F5" w:rsidRPr="000D58EF">
        <w:rPr>
          <w:rFonts w:ascii="Times New Roman" w:hAnsi="Times New Roman" w:cs="Times New Roman"/>
        </w:rPr>
        <w:t>ans un RNR, il se produit davantage de noyaux fissiles nouveaux – par transmutation de noyaux fertiles</w:t>
      </w:r>
      <w:r w:rsidR="005133F5" w:rsidRPr="000D58EF">
        <w:rPr>
          <w:rStyle w:val="Appelnotedebasdep"/>
          <w:rFonts w:ascii="Times New Roman" w:hAnsi="Times New Roman" w:cs="Times New Roman"/>
          <w:highlight w:val="red"/>
        </w:rPr>
        <w:footnoteReference w:id="9"/>
      </w:r>
      <w:r w:rsidR="005133F5" w:rsidRPr="000D58EF">
        <w:rPr>
          <w:rFonts w:ascii="Times New Roman" w:hAnsi="Times New Roman" w:cs="Times New Roman"/>
        </w:rPr>
        <w:t xml:space="preserve"> – qu’il ne s’en détruit par fission ou capture. Cette spécificité est appelée </w:t>
      </w:r>
      <w:r w:rsidRPr="000D58EF">
        <w:rPr>
          <w:rFonts w:ascii="Times New Roman" w:hAnsi="Times New Roman" w:cs="Times New Roman"/>
        </w:rPr>
        <w:t>« </w:t>
      </w:r>
      <w:r w:rsidR="005133F5" w:rsidRPr="000D58EF">
        <w:rPr>
          <w:rFonts w:ascii="Times New Roman" w:hAnsi="Times New Roman" w:cs="Times New Roman"/>
        </w:rPr>
        <w:t>surgénération</w:t>
      </w:r>
      <w:r w:rsidRPr="000D58EF">
        <w:rPr>
          <w:rFonts w:ascii="Times New Roman" w:hAnsi="Times New Roman" w:cs="Times New Roman"/>
        </w:rPr>
        <w:t> »,</w:t>
      </w:r>
      <w:r w:rsidR="005133F5" w:rsidRPr="000D58EF">
        <w:rPr>
          <w:rFonts w:ascii="Times New Roman" w:hAnsi="Times New Roman" w:cs="Times New Roman"/>
        </w:rPr>
        <w:t xml:space="preserve"> </w:t>
      </w:r>
      <w:r w:rsidR="006F17F8" w:rsidRPr="000D58EF">
        <w:rPr>
          <w:rFonts w:ascii="Times New Roman" w:hAnsi="Times New Roman" w:cs="Times New Roman"/>
        </w:rPr>
        <w:t xml:space="preserve">car </w:t>
      </w:r>
      <w:r w:rsidR="005133F5" w:rsidRPr="000D58EF">
        <w:rPr>
          <w:rFonts w:ascii="Times New Roman" w:hAnsi="Times New Roman" w:cs="Times New Roman"/>
        </w:rPr>
        <w:t>elle augmente le stock de matière fissile au fur et à mesure du fonctionnement du réacteur. C’est un atout considérable pour disposer d’énergie décarbonée à hauteur des besoins mondiaux.</w:t>
      </w:r>
    </w:p>
    <w:p w14:paraId="67B09B29" w14:textId="261820AA" w:rsidR="005A0A9B" w:rsidRPr="000D58EF" w:rsidRDefault="0042048D" w:rsidP="00352656">
      <w:pPr>
        <w:spacing w:after="0" w:line="360" w:lineRule="auto"/>
        <w:jc w:val="both"/>
        <w:rPr>
          <w:rFonts w:ascii="Times New Roman" w:hAnsi="Times New Roman" w:cs="Times New Roman"/>
          <w:vanish/>
        </w:rPr>
      </w:pPr>
      <w:r w:rsidRPr="000D58EF">
        <w:rPr>
          <w:rFonts w:ascii="Times New Roman" w:hAnsi="Times New Roman" w:cs="Times New Roman"/>
          <w:b/>
          <w:bCs/>
          <w:iCs/>
        </w:rPr>
        <w:t>3.</w:t>
      </w:r>
      <w:r w:rsidRPr="000D58EF">
        <w:rPr>
          <w:rFonts w:ascii="Times New Roman" w:hAnsi="Times New Roman" w:cs="Times New Roman"/>
          <w:b/>
          <w:bCs/>
          <w:i/>
          <w:iCs/>
        </w:rPr>
        <w:t> </w:t>
      </w:r>
      <w:r w:rsidRPr="000D58EF">
        <w:rPr>
          <w:rFonts w:ascii="Times New Roman" w:hAnsi="Times New Roman" w:cs="Times New Roman"/>
        </w:rPr>
        <w:t>L</w:t>
      </w:r>
      <w:r w:rsidR="009B6D59" w:rsidRPr="000D58EF">
        <w:rPr>
          <w:rFonts w:ascii="Times New Roman" w:hAnsi="Times New Roman" w:cs="Times New Roman"/>
        </w:rPr>
        <w:t xml:space="preserve">e RNR </w:t>
      </w:r>
      <w:r w:rsidR="0030242E" w:rsidRPr="000D58EF">
        <w:rPr>
          <w:rFonts w:ascii="Times New Roman" w:hAnsi="Times New Roman" w:cs="Times New Roman"/>
        </w:rPr>
        <w:t xml:space="preserve">favorise la fission au détriment de la capture, ce qui </w:t>
      </w:r>
      <w:r w:rsidR="009B6D59" w:rsidRPr="000D58EF">
        <w:rPr>
          <w:rFonts w:ascii="Times New Roman" w:hAnsi="Times New Roman" w:cs="Times New Roman"/>
        </w:rPr>
        <w:t>minimise les déchets produits</w:t>
      </w:r>
      <w:r w:rsidR="000617BD" w:rsidRPr="000D58EF">
        <w:rPr>
          <w:rFonts w:ascii="Times New Roman" w:hAnsi="Times New Roman" w:cs="Times New Roman"/>
        </w:rPr>
        <w:t xml:space="preserve"> que l’on retrouve</w:t>
      </w:r>
      <w:r w:rsidR="009B6D59" w:rsidRPr="000D58EF">
        <w:rPr>
          <w:rFonts w:ascii="Times New Roman" w:hAnsi="Times New Roman" w:cs="Times New Roman"/>
        </w:rPr>
        <w:t xml:space="preserve"> fatalement à l’aval des REP. </w:t>
      </w:r>
      <w:r w:rsidR="0030242E" w:rsidRPr="000D58EF">
        <w:rPr>
          <w:rFonts w:ascii="Times New Roman" w:hAnsi="Times New Roman" w:cs="Times New Roman"/>
        </w:rPr>
        <w:t xml:space="preserve">Les </w:t>
      </w:r>
      <w:r w:rsidR="009B6D59" w:rsidRPr="000D58EF">
        <w:rPr>
          <w:rFonts w:ascii="Times New Roman" w:hAnsi="Times New Roman" w:cs="Times New Roman"/>
        </w:rPr>
        <w:t>déchets</w:t>
      </w:r>
      <w:r w:rsidR="00DC1C8C" w:rsidRPr="000D58EF">
        <w:rPr>
          <w:rFonts w:ascii="Times New Roman" w:hAnsi="Times New Roman" w:cs="Times New Roman"/>
        </w:rPr>
        <w:t xml:space="preserve"> du RNR se réduisent</w:t>
      </w:r>
      <w:r w:rsidR="009B6D59" w:rsidRPr="000D58EF">
        <w:rPr>
          <w:rFonts w:ascii="Times New Roman" w:hAnsi="Times New Roman" w:cs="Times New Roman"/>
        </w:rPr>
        <w:t xml:space="preserve"> </w:t>
      </w:r>
      <w:r w:rsidR="00DC1C8C" w:rsidRPr="000D58EF">
        <w:rPr>
          <w:rFonts w:ascii="Times New Roman" w:hAnsi="Times New Roman" w:cs="Times New Roman"/>
        </w:rPr>
        <w:t xml:space="preserve">aux </w:t>
      </w:r>
      <w:r w:rsidR="009B6D59" w:rsidRPr="000D58EF">
        <w:rPr>
          <w:rFonts w:ascii="Times New Roman" w:hAnsi="Times New Roman" w:cs="Times New Roman"/>
        </w:rPr>
        <w:t>produits de fission</w:t>
      </w:r>
      <w:r w:rsidRPr="000D58EF">
        <w:rPr>
          <w:rFonts w:ascii="Times New Roman" w:hAnsi="Times New Roman" w:cs="Times New Roman"/>
        </w:rPr>
        <w:t xml:space="preserve"> </w:t>
      </w:r>
      <w:r w:rsidR="00DC1C8C" w:rsidRPr="000D58EF">
        <w:rPr>
          <w:rFonts w:ascii="Times New Roman" w:hAnsi="Times New Roman" w:cs="Times New Roman"/>
        </w:rPr>
        <w:t xml:space="preserve">dont les </w:t>
      </w:r>
      <w:r w:rsidR="009B6D59" w:rsidRPr="000D58EF">
        <w:rPr>
          <w:rFonts w:ascii="Times New Roman" w:hAnsi="Times New Roman" w:cs="Times New Roman"/>
        </w:rPr>
        <w:t>périodes radioactives</w:t>
      </w:r>
      <w:r w:rsidR="0030242E" w:rsidRPr="000D58EF">
        <w:rPr>
          <w:rFonts w:ascii="Times New Roman" w:hAnsi="Times New Roman" w:cs="Times New Roman"/>
        </w:rPr>
        <w:t xml:space="preserve"> </w:t>
      </w:r>
      <w:r w:rsidR="00DC1C8C" w:rsidRPr="000D58EF">
        <w:rPr>
          <w:rFonts w:ascii="Times New Roman" w:hAnsi="Times New Roman" w:cs="Times New Roman"/>
        </w:rPr>
        <w:t xml:space="preserve">sont </w:t>
      </w:r>
      <w:r w:rsidR="0030242E" w:rsidRPr="000D58EF">
        <w:rPr>
          <w:rFonts w:ascii="Times New Roman" w:hAnsi="Times New Roman" w:cs="Times New Roman"/>
        </w:rPr>
        <w:t>d’une trentaine d’années en moyenne</w:t>
      </w:r>
      <w:r w:rsidR="00DC1C8C" w:rsidRPr="000D58EF">
        <w:rPr>
          <w:rFonts w:ascii="Times New Roman" w:hAnsi="Times New Roman" w:cs="Times New Roman"/>
        </w:rPr>
        <w:t xml:space="preserve">, ce qui réduit </w:t>
      </w:r>
      <w:r w:rsidR="00F94C34" w:rsidRPr="000D58EF">
        <w:rPr>
          <w:rFonts w:ascii="Times New Roman" w:hAnsi="Times New Roman" w:cs="Times New Roman"/>
        </w:rPr>
        <w:t xml:space="preserve">la durée du confinement dans un stockage à </w:t>
      </w:r>
      <w:r w:rsidR="00C34D74" w:rsidRPr="000D58EF">
        <w:rPr>
          <w:rFonts w:ascii="Times New Roman" w:hAnsi="Times New Roman" w:cs="Times New Roman"/>
        </w:rPr>
        <w:t>quelques siècles seulement</w:t>
      </w:r>
      <w:r w:rsidR="009B6D59" w:rsidRPr="000D58EF">
        <w:rPr>
          <w:rFonts w:ascii="Times New Roman" w:hAnsi="Times New Roman" w:cs="Times New Roman"/>
        </w:rPr>
        <w:t>.</w:t>
      </w:r>
      <w:r w:rsidR="00F55BC2" w:rsidRPr="000D58EF">
        <w:rPr>
          <w:rFonts w:ascii="Times New Roman" w:hAnsi="Times New Roman" w:cs="Times New Roman"/>
        </w:rPr>
        <w:t xml:space="preserve"> De plus, en raison </w:t>
      </w:r>
      <w:r w:rsidR="00D24CEE" w:rsidRPr="000D58EF">
        <w:rPr>
          <w:rFonts w:ascii="Times New Roman" w:hAnsi="Times New Roman" w:cs="Times New Roman"/>
        </w:rPr>
        <w:t>d</w:t>
      </w:r>
      <w:r w:rsidR="00B6677E" w:rsidRPr="000D58EF">
        <w:rPr>
          <w:rFonts w:ascii="Times New Roman" w:hAnsi="Times New Roman" w:cs="Times New Roman"/>
        </w:rPr>
        <w:t>u</w:t>
      </w:r>
      <w:r w:rsidR="00D24CEE" w:rsidRPr="000D58EF">
        <w:rPr>
          <w:rFonts w:ascii="Times New Roman" w:hAnsi="Times New Roman" w:cs="Times New Roman"/>
        </w:rPr>
        <w:t xml:space="preserve"> </w:t>
      </w:r>
      <w:r w:rsidR="00F55BC2" w:rsidRPr="000D58EF">
        <w:rPr>
          <w:rFonts w:ascii="Times New Roman" w:hAnsi="Times New Roman" w:cs="Times New Roman"/>
        </w:rPr>
        <w:t>rendement thermodynamique</w:t>
      </w:r>
      <w:r w:rsidR="001C02F6" w:rsidRPr="000D58EF">
        <w:rPr>
          <w:rFonts w:ascii="Times New Roman" w:hAnsi="Times New Roman" w:cs="Times New Roman"/>
        </w:rPr>
        <w:t xml:space="preserve"> </w:t>
      </w:r>
      <w:r w:rsidR="00D24CEE" w:rsidRPr="000D58EF">
        <w:rPr>
          <w:rFonts w:ascii="Times New Roman" w:hAnsi="Times New Roman" w:cs="Times New Roman"/>
        </w:rPr>
        <w:t xml:space="preserve">supérieur </w:t>
      </w:r>
      <w:r w:rsidR="00B6677E" w:rsidRPr="000D58EF">
        <w:rPr>
          <w:rFonts w:ascii="Times New Roman" w:hAnsi="Times New Roman" w:cs="Times New Roman"/>
        </w:rPr>
        <w:t>à</w:t>
      </w:r>
      <w:r w:rsidR="00D24CEE" w:rsidRPr="000D58EF">
        <w:rPr>
          <w:rFonts w:ascii="Times New Roman" w:hAnsi="Times New Roman" w:cs="Times New Roman"/>
        </w:rPr>
        <w:t xml:space="preserve"> celui des REP, </w:t>
      </w:r>
      <w:r w:rsidR="00D455EB" w:rsidRPr="000D58EF">
        <w:rPr>
          <w:rFonts w:ascii="Times New Roman" w:hAnsi="Times New Roman" w:cs="Times New Roman"/>
        </w:rPr>
        <w:t xml:space="preserve">ces déchets ultimes </w:t>
      </w:r>
      <w:r w:rsidR="001C02F6" w:rsidRPr="000D58EF">
        <w:rPr>
          <w:rFonts w:ascii="Times New Roman" w:hAnsi="Times New Roman" w:cs="Times New Roman"/>
        </w:rPr>
        <w:t xml:space="preserve">par </w:t>
      </w:r>
      <w:r w:rsidR="00352656" w:rsidRPr="000D58EF">
        <w:rPr>
          <w:rFonts w:ascii="Times New Roman" w:hAnsi="Times New Roman" w:cs="Times New Roman"/>
        </w:rPr>
        <w:t>quantité d’énergie produite</w:t>
      </w:r>
      <w:r w:rsidR="00F43B0C" w:rsidRPr="000D58EF">
        <w:rPr>
          <w:rFonts w:ascii="Times New Roman" w:hAnsi="Times New Roman" w:cs="Times New Roman"/>
        </w:rPr>
        <w:t xml:space="preserve"> sont réduits de 25</w:t>
      </w:r>
      <w:r w:rsidR="005732C0" w:rsidRPr="000D58EF">
        <w:rPr>
          <w:rFonts w:ascii="Times New Roman" w:hAnsi="Times New Roman" w:cs="Times New Roman"/>
        </w:rPr>
        <w:t> %</w:t>
      </w:r>
      <w:r w:rsidR="00F43B0C" w:rsidRPr="000D58EF">
        <w:rPr>
          <w:rStyle w:val="Appelnotedebasdep"/>
          <w:rFonts w:ascii="Times New Roman" w:hAnsi="Times New Roman" w:cs="Times New Roman"/>
          <w:highlight w:val="red"/>
        </w:rPr>
        <w:footnoteReference w:id="10"/>
      </w:r>
      <w:r w:rsidRPr="000D58EF">
        <w:rPr>
          <w:rFonts w:ascii="Times New Roman" w:hAnsi="Times New Roman" w:cs="Times New Roman"/>
        </w:rPr>
        <w:t>.</w:t>
      </w:r>
    </w:p>
    <w:p w14:paraId="2D9FDBF2" w14:textId="77777777" w:rsidR="00CA0B89" w:rsidRDefault="00CA0B89" w:rsidP="00394886">
      <w:pPr>
        <w:spacing w:after="0" w:line="360" w:lineRule="auto"/>
        <w:jc w:val="both"/>
        <w:rPr>
          <w:rFonts w:ascii="Times New Roman" w:hAnsi="Times New Roman" w:cs="Times New Roman"/>
          <w:b/>
          <w:bCs/>
        </w:rPr>
      </w:pPr>
    </w:p>
    <w:p w14:paraId="346310E4" w14:textId="2F6415AA" w:rsidR="005A0A9B" w:rsidRPr="00E1009E" w:rsidRDefault="0042048D" w:rsidP="00394886">
      <w:pPr>
        <w:spacing w:after="0" w:line="360" w:lineRule="auto"/>
        <w:jc w:val="both"/>
        <w:rPr>
          <w:rFonts w:ascii="Times New Roman" w:hAnsi="Times New Roman" w:cs="Times New Roman"/>
          <w:b/>
          <w:bCs/>
        </w:rPr>
      </w:pPr>
      <w:r w:rsidRPr="00E1009E">
        <w:rPr>
          <w:rFonts w:ascii="Times New Roman" w:hAnsi="Times New Roman" w:cs="Times New Roman"/>
          <w:b/>
          <w:bCs/>
        </w:rPr>
        <w:t>LA FAISABILITÉ D’UNE FILIÈRE RNR ACQUISE DÈS LES ANNÉES 1950</w:t>
      </w:r>
    </w:p>
    <w:p w14:paraId="6E55C629" w14:textId="384D4525" w:rsidR="0051629A" w:rsidRPr="00E1009E" w:rsidRDefault="00C971C1" w:rsidP="005317CA">
      <w:pPr>
        <w:spacing w:after="0" w:line="360" w:lineRule="auto"/>
        <w:jc w:val="both"/>
        <w:rPr>
          <w:rFonts w:ascii="Times New Roman" w:hAnsi="Times New Roman" w:cs="Times New Roman"/>
        </w:rPr>
      </w:pPr>
      <w:r w:rsidRPr="00E1009E">
        <w:rPr>
          <w:rFonts w:ascii="Times New Roman" w:hAnsi="Times New Roman" w:cs="Times New Roman"/>
        </w:rPr>
        <w:lastRenderedPageBreak/>
        <w:t xml:space="preserve">Le </w:t>
      </w:r>
      <w:r w:rsidR="001B25A1" w:rsidRPr="00E1009E">
        <w:rPr>
          <w:rFonts w:ascii="Times New Roman" w:hAnsi="Times New Roman" w:cs="Times New Roman"/>
        </w:rPr>
        <w:t>premier prototype expérimental</w:t>
      </w:r>
      <w:r w:rsidRPr="00E1009E">
        <w:rPr>
          <w:rFonts w:ascii="Times New Roman" w:hAnsi="Times New Roman" w:cs="Times New Roman"/>
        </w:rPr>
        <w:t xml:space="preserve"> de la fission électrogène fut un RNR</w:t>
      </w:r>
      <w:r w:rsidR="001B25A1" w:rsidRPr="00E1009E">
        <w:rPr>
          <w:rFonts w:ascii="Times New Roman" w:hAnsi="Times New Roman" w:cs="Times New Roman"/>
        </w:rPr>
        <w:t xml:space="preserve"> dénommé EBR1 (</w:t>
      </w:r>
      <w:r w:rsidR="001B25A1" w:rsidRPr="00E1009E">
        <w:rPr>
          <w:rFonts w:ascii="Times New Roman" w:hAnsi="Times New Roman" w:cs="Times New Roman"/>
          <w:iCs/>
        </w:rPr>
        <w:t>Exp</w:t>
      </w:r>
      <w:r w:rsidR="00E1009E" w:rsidRPr="00E1009E">
        <w:rPr>
          <w:rFonts w:ascii="Times New Roman" w:hAnsi="Times New Roman" w:cs="Times New Roman"/>
          <w:iCs/>
        </w:rPr>
        <w:t>e</w:t>
      </w:r>
      <w:r w:rsidR="001B25A1" w:rsidRPr="00E1009E">
        <w:rPr>
          <w:rFonts w:ascii="Times New Roman" w:hAnsi="Times New Roman" w:cs="Times New Roman"/>
          <w:iCs/>
        </w:rPr>
        <w:t xml:space="preserve">rimental Breeder Reactor </w:t>
      </w:r>
      <w:r w:rsidR="005540E0" w:rsidRPr="00E1009E">
        <w:rPr>
          <w:rFonts w:ascii="Times New Roman" w:hAnsi="Times New Roman" w:cs="Times New Roman"/>
          <w:iCs/>
        </w:rPr>
        <w:t>n</w:t>
      </w:r>
      <w:r w:rsidR="00E1009E" w:rsidRPr="00E1009E">
        <w:rPr>
          <w:rFonts w:ascii="Times New Roman" w:hAnsi="Times New Roman" w:cs="Times New Roman"/>
          <w:iCs/>
          <w:vertAlign w:val="superscript"/>
        </w:rPr>
        <w:t>o</w:t>
      </w:r>
      <w:r w:rsidR="00E1009E" w:rsidRPr="00E1009E">
        <w:rPr>
          <w:rFonts w:ascii="Times New Roman" w:hAnsi="Times New Roman" w:cs="Times New Roman"/>
          <w:iCs/>
        </w:rPr>
        <w:t> </w:t>
      </w:r>
      <w:r w:rsidR="001B25A1" w:rsidRPr="00E1009E">
        <w:rPr>
          <w:rFonts w:ascii="Times New Roman" w:hAnsi="Times New Roman" w:cs="Times New Roman"/>
          <w:iCs/>
        </w:rPr>
        <w:t>1</w:t>
      </w:r>
      <w:r w:rsidR="001B25A1" w:rsidRPr="00E1009E">
        <w:rPr>
          <w:rFonts w:ascii="Times New Roman" w:hAnsi="Times New Roman" w:cs="Times New Roman"/>
        </w:rPr>
        <w:t xml:space="preserve">), </w:t>
      </w:r>
      <w:r w:rsidR="0074097A" w:rsidRPr="00E1009E">
        <w:rPr>
          <w:rFonts w:ascii="Times New Roman" w:hAnsi="Times New Roman" w:cs="Times New Roman"/>
        </w:rPr>
        <w:t xml:space="preserve">construit en 1950 </w:t>
      </w:r>
      <w:r w:rsidR="001B25A1" w:rsidRPr="00E1009E">
        <w:rPr>
          <w:rFonts w:ascii="Times New Roman" w:hAnsi="Times New Roman" w:cs="Times New Roman"/>
        </w:rPr>
        <w:t>dans l’Idaho</w:t>
      </w:r>
      <w:r w:rsidR="00E1009E" w:rsidRPr="00E1009E">
        <w:rPr>
          <w:rFonts w:ascii="Times New Roman" w:hAnsi="Times New Roman" w:cs="Times New Roman"/>
        </w:rPr>
        <w:t>,</w:t>
      </w:r>
      <w:r w:rsidR="001B25A1" w:rsidRPr="00E1009E">
        <w:rPr>
          <w:rFonts w:ascii="Times New Roman" w:hAnsi="Times New Roman" w:cs="Times New Roman"/>
        </w:rPr>
        <w:t xml:space="preserve"> </w:t>
      </w:r>
      <w:r w:rsidRPr="00E1009E">
        <w:rPr>
          <w:rFonts w:ascii="Times New Roman" w:hAnsi="Times New Roman" w:cs="Times New Roman"/>
        </w:rPr>
        <w:t xml:space="preserve">aux </w:t>
      </w:r>
      <w:r w:rsidR="005732C0" w:rsidRPr="00E1009E">
        <w:rPr>
          <w:rFonts w:ascii="Times New Roman" w:hAnsi="Times New Roman" w:cs="Times New Roman"/>
        </w:rPr>
        <w:t>État</w:t>
      </w:r>
      <w:r w:rsidRPr="00E1009E">
        <w:rPr>
          <w:rFonts w:ascii="Times New Roman" w:hAnsi="Times New Roman" w:cs="Times New Roman"/>
        </w:rPr>
        <w:t>s-Unis</w:t>
      </w:r>
      <w:r w:rsidR="000F2D31" w:rsidRPr="00E1009E">
        <w:rPr>
          <w:rFonts w:ascii="Times New Roman" w:hAnsi="Times New Roman" w:cs="Times New Roman"/>
        </w:rPr>
        <w:t xml:space="preserve">, </w:t>
      </w:r>
      <w:r w:rsidR="001B25A1" w:rsidRPr="00E1009E">
        <w:rPr>
          <w:rFonts w:ascii="Times New Roman" w:hAnsi="Times New Roman" w:cs="Times New Roman"/>
        </w:rPr>
        <w:t>démarré ave</w:t>
      </w:r>
      <w:r w:rsidR="005732C0" w:rsidRPr="00E1009E">
        <w:rPr>
          <w:rFonts w:ascii="Times New Roman" w:hAnsi="Times New Roman" w:cs="Times New Roman"/>
        </w:rPr>
        <w:t>c de l’uranium très enrichi (67 %</w:t>
      </w:r>
      <w:r w:rsidR="002F381E">
        <w:rPr>
          <w:rFonts w:ascii="Times New Roman" w:hAnsi="Times New Roman" w:cs="Times New Roman"/>
        </w:rPr>
        <w:t>)</w:t>
      </w:r>
      <w:r w:rsidR="001B25A1" w:rsidRPr="00E1009E">
        <w:rPr>
          <w:rFonts w:ascii="Times New Roman" w:hAnsi="Times New Roman" w:cs="Times New Roman"/>
        </w:rPr>
        <w:t xml:space="preserve"> </w:t>
      </w:r>
      <w:r w:rsidR="005540E0" w:rsidRPr="00E1009E">
        <w:rPr>
          <w:rFonts w:ascii="Times New Roman" w:hAnsi="Times New Roman" w:cs="Times New Roman"/>
        </w:rPr>
        <w:t xml:space="preserve">puis </w:t>
      </w:r>
      <w:r w:rsidR="001B25A1" w:rsidRPr="00E1009E">
        <w:rPr>
          <w:rFonts w:ascii="Times New Roman" w:hAnsi="Times New Roman" w:cs="Times New Roman"/>
        </w:rPr>
        <w:t xml:space="preserve">chargé </w:t>
      </w:r>
      <w:r w:rsidR="000F2D31" w:rsidRPr="00E1009E">
        <w:rPr>
          <w:rFonts w:ascii="Times New Roman" w:hAnsi="Times New Roman" w:cs="Times New Roman"/>
        </w:rPr>
        <w:t xml:space="preserve">en </w:t>
      </w:r>
      <w:r w:rsidR="001B25A1" w:rsidRPr="00E1009E">
        <w:rPr>
          <w:rFonts w:ascii="Times New Roman" w:hAnsi="Times New Roman" w:cs="Times New Roman"/>
        </w:rPr>
        <w:t xml:space="preserve">plutonium </w:t>
      </w:r>
      <w:r w:rsidR="000F2D31" w:rsidRPr="00E1009E">
        <w:rPr>
          <w:rFonts w:ascii="Times New Roman" w:hAnsi="Times New Roman" w:cs="Times New Roman"/>
        </w:rPr>
        <w:t xml:space="preserve">pour </w:t>
      </w:r>
      <w:r w:rsidR="001B25A1" w:rsidRPr="00E1009E">
        <w:rPr>
          <w:rFonts w:ascii="Times New Roman" w:hAnsi="Times New Roman" w:cs="Times New Roman"/>
        </w:rPr>
        <w:t>démontrer la surgénération</w:t>
      </w:r>
      <w:r w:rsidR="005540E0" w:rsidRPr="00E1009E">
        <w:rPr>
          <w:rFonts w:ascii="Times New Roman" w:hAnsi="Times New Roman" w:cs="Times New Roman"/>
        </w:rPr>
        <w:t xml:space="preserve"> (1953)</w:t>
      </w:r>
      <w:r w:rsidR="00CC0011" w:rsidRPr="00E1009E">
        <w:rPr>
          <w:rFonts w:ascii="Times New Roman" w:hAnsi="Times New Roman" w:cs="Times New Roman"/>
        </w:rPr>
        <w:t>.</w:t>
      </w:r>
      <w:r w:rsidR="001B25A1" w:rsidRPr="00E1009E">
        <w:rPr>
          <w:rFonts w:ascii="Times New Roman" w:hAnsi="Times New Roman" w:cs="Times New Roman"/>
        </w:rPr>
        <w:t xml:space="preserve"> </w:t>
      </w:r>
      <w:r w:rsidR="00E80EB8" w:rsidRPr="00E1009E">
        <w:rPr>
          <w:rFonts w:ascii="Times New Roman" w:hAnsi="Times New Roman" w:cs="Times New Roman"/>
        </w:rPr>
        <w:t xml:space="preserve">La </w:t>
      </w:r>
      <w:r w:rsidR="0014103C" w:rsidRPr="00E1009E">
        <w:rPr>
          <w:rFonts w:ascii="Times New Roman" w:hAnsi="Times New Roman" w:cs="Times New Roman"/>
        </w:rPr>
        <w:t xml:space="preserve">quasi-totalité des RNR </w:t>
      </w:r>
      <w:r w:rsidR="0051629A" w:rsidRPr="00E1009E">
        <w:rPr>
          <w:rFonts w:ascii="Times New Roman" w:hAnsi="Times New Roman" w:cs="Times New Roman"/>
        </w:rPr>
        <w:t xml:space="preserve">développés dans le monde fonctionnent avec </w:t>
      </w:r>
      <w:r w:rsidR="002B2B94" w:rsidRPr="00E1009E">
        <w:rPr>
          <w:rFonts w:ascii="Times New Roman" w:hAnsi="Times New Roman" w:cs="Times New Roman"/>
        </w:rPr>
        <w:t xml:space="preserve">du </w:t>
      </w:r>
      <w:r w:rsidR="0051629A" w:rsidRPr="00E1009E">
        <w:rPr>
          <w:rFonts w:ascii="Times New Roman" w:hAnsi="Times New Roman" w:cs="Times New Roman"/>
        </w:rPr>
        <w:t>sodium liquide comme caloporteur (RNR-Na</w:t>
      </w:r>
      <w:r w:rsidR="000223A8" w:rsidRPr="00E1009E">
        <w:rPr>
          <w:rFonts w:ascii="Times New Roman" w:hAnsi="Times New Roman" w:cs="Times New Roman"/>
        </w:rPr>
        <w:t>) en raison de ses très bonnes performances</w:t>
      </w:r>
      <w:r w:rsidR="00E4147E" w:rsidRPr="00E1009E">
        <w:rPr>
          <w:rFonts w:ascii="Times New Roman" w:hAnsi="Times New Roman" w:cs="Times New Roman"/>
        </w:rPr>
        <w:t>, notamment</w:t>
      </w:r>
      <w:r w:rsidR="000223A8" w:rsidRPr="00E1009E">
        <w:rPr>
          <w:rFonts w:ascii="Times New Roman" w:hAnsi="Times New Roman" w:cs="Times New Roman"/>
        </w:rPr>
        <w:t xml:space="preserve"> </w:t>
      </w:r>
      <w:r w:rsidR="00E4147E" w:rsidRPr="00E1009E">
        <w:rPr>
          <w:rFonts w:ascii="Times New Roman" w:hAnsi="Times New Roman" w:cs="Times New Roman"/>
        </w:rPr>
        <w:t xml:space="preserve">en </w:t>
      </w:r>
      <w:r w:rsidR="002F381E">
        <w:rPr>
          <w:rFonts w:ascii="Times New Roman" w:hAnsi="Times New Roman" w:cs="Times New Roman"/>
        </w:rPr>
        <w:t>matière</w:t>
      </w:r>
      <w:r w:rsidR="00E4147E" w:rsidRPr="00E1009E">
        <w:rPr>
          <w:rFonts w:ascii="Times New Roman" w:hAnsi="Times New Roman" w:cs="Times New Roman"/>
        </w:rPr>
        <w:t xml:space="preserve"> </w:t>
      </w:r>
      <w:r w:rsidR="0026647E" w:rsidRPr="00E1009E">
        <w:rPr>
          <w:rFonts w:ascii="Times New Roman" w:hAnsi="Times New Roman" w:cs="Times New Roman"/>
        </w:rPr>
        <w:t>de transfert de chaleur</w:t>
      </w:r>
      <w:r w:rsidR="00E4147E" w:rsidRPr="00E1009E">
        <w:rPr>
          <w:rFonts w:ascii="Times New Roman" w:hAnsi="Times New Roman" w:cs="Times New Roman"/>
        </w:rPr>
        <w:t xml:space="preserve"> et</w:t>
      </w:r>
      <w:r w:rsidR="0026647E" w:rsidRPr="00E1009E">
        <w:rPr>
          <w:rFonts w:ascii="Times New Roman" w:hAnsi="Times New Roman" w:cs="Times New Roman"/>
        </w:rPr>
        <w:t xml:space="preserve"> densité de puissance</w:t>
      </w:r>
      <w:r w:rsidR="0030129C" w:rsidRPr="00E1009E">
        <w:rPr>
          <w:rFonts w:ascii="Times New Roman" w:hAnsi="Times New Roman" w:cs="Times New Roman"/>
        </w:rPr>
        <w:t xml:space="preserve">. </w:t>
      </w:r>
      <w:r w:rsidR="003C758C" w:rsidRPr="00E1009E">
        <w:rPr>
          <w:rFonts w:ascii="Times New Roman" w:hAnsi="Times New Roman" w:cs="Times New Roman"/>
        </w:rPr>
        <w:t>L’</w:t>
      </w:r>
      <w:r w:rsidR="00F21D52" w:rsidRPr="00E1009E">
        <w:rPr>
          <w:rFonts w:ascii="Times New Roman" w:hAnsi="Times New Roman" w:cs="Times New Roman"/>
        </w:rPr>
        <w:t xml:space="preserve">expérience </w:t>
      </w:r>
      <w:r w:rsidR="003C758C" w:rsidRPr="00E1009E">
        <w:rPr>
          <w:rFonts w:ascii="Times New Roman" w:hAnsi="Times New Roman" w:cs="Times New Roman"/>
        </w:rPr>
        <w:t xml:space="preserve">mondiale </w:t>
      </w:r>
      <w:r w:rsidR="00F21D52" w:rsidRPr="00E1009E">
        <w:rPr>
          <w:rFonts w:ascii="Times New Roman" w:hAnsi="Times New Roman" w:cs="Times New Roman"/>
        </w:rPr>
        <w:t xml:space="preserve">de fonctionnement </w:t>
      </w:r>
      <w:r w:rsidR="003C758C" w:rsidRPr="00E1009E">
        <w:rPr>
          <w:rFonts w:ascii="Times New Roman" w:hAnsi="Times New Roman" w:cs="Times New Roman"/>
        </w:rPr>
        <w:t xml:space="preserve">est </w:t>
      </w:r>
      <w:r w:rsidR="00F21D52" w:rsidRPr="00E1009E">
        <w:rPr>
          <w:rFonts w:ascii="Times New Roman" w:hAnsi="Times New Roman" w:cs="Times New Roman"/>
        </w:rPr>
        <w:t>d’environ 220</w:t>
      </w:r>
      <w:r w:rsidR="002F381E">
        <w:rPr>
          <w:rFonts w:ascii="Times New Roman" w:hAnsi="Times New Roman" w:cs="Times New Roman"/>
        </w:rPr>
        <w:t> </w:t>
      </w:r>
      <w:r w:rsidR="00F21D52" w:rsidRPr="00E1009E">
        <w:rPr>
          <w:rFonts w:ascii="Times New Roman" w:hAnsi="Times New Roman" w:cs="Times New Roman"/>
        </w:rPr>
        <w:t>réacteurs-</w:t>
      </w:r>
      <w:r w:rsidR="00E1009E" w:rsidRPr="00E1009E">
        <w:rPr>
          <w:rFonts w:ascii="Times New Roman" w:hAnsi="Times New Roman" w:cs="Times New Roman"/>
        </w:rPr>
        <w:t>an</w:t>
      </w:r>
      <w:r w:rsidR="0010499B" w:rsidRPr="00E1009E">
        <w:rPr>
          <w:rFonts w:ascii="Times New Roman" w:hAnsi="Times New Roman" w:cs="Times New Roman"/>
        </w:rPr>
        <w:t xml:space="preserve"> sans</w:t>
      </w:r>
      <w:r w:rsidR="005317CA" w:rsidRPr="00E1009E">
        <w:rPr>
          <w:rFonts w:ascii="Times New Roman" w:hAnsi="Times New Roman" w:cs="Times New Roman"/>
        </w:rPr>
        <w:t xml:space="preserve"> révéler de défauts majeurs</w:t>
      </w:r>
      <w:r w:rsidR="002B2B94" w:rsidRPr="00E1009E">
        <w:rPr>
          <w:rFonts w:ascii="Times New Roman" w:hAnsi="Times New Roman" w:cs="Times New Roman"/>
        </w:rPr>
        <w:t xml:space="preserve"> </w:t>
      </w:r>
      <w:r w:rsidR="0051629A" w:rsidRPr="00E1009E">
        <w:rPr>
          <w:rFonts w:ascii="Times New Roman" w:hAnsi="Times New Roman" w:cs="Times New Roman"/>
          <w:i/>
          <w:highlight w:val="cyan"/>
        </w:rPr>
        <w:t xml:space="preserve">(tableau </w:t>
      </w:r>
      <w:r w:rsidR="00E1009E" w:rsidRPr="00E1009E">
        <w:rPr>
          <w:rFonts w:ascii="Times New Roman" w:hAnsi="Times New Roman" w:cs="Times New Roman"/>
          <w:i/>
          <w:highlight w:val="cyan"/>
        </w:rPr>
        <w:t>ci-après</w:t>
      </w:r>
      <w:r w:rsidR="0051629A" w:rsidRPr="00E1009E">
        <w:rPr>
          <w:rFonts w:ascii="Times New Roman" w:hAnsi="Times New Roman" w:cs="Times New Roman"/>
          <w:i/>
          <w:highlight w:val="cyan"/>
        </w:rPr>
        <w:t>)</w:t>
      </w:r>
      <w:r w:rsidR="002B2B94" w:rsidRPr="00E1009E">
        <w:rPr>
          <w:rFonts w:ascii="Times New Roman" w:hAnsi="Times New Roman" w:cs="Times New Roman"/>
        </w:rPr>
        <w:t>.</w:t>
      </w:r>
    </w:p>
    <w:p w14:paraId="3CF5A08F" w14:textId="20C74FA4" w:rsidR="00876DA4" w:rsidRDefault="00477561" w:rsidP="00394886">
      <w:pPr>
        <w:spacing w:after="0" w:line="360" w:lineRule="auto"/>
        <w:jc w:val="both"/>
        <w:rPr>
          <w:rFonts w:ascii="Times New Roman" w:hAnsi="Times New Roman" w:cs="Times New Roman"/>
        </w:rPr>
      </w:pPr>
      <w:r w:rsidRPr="00E1009E">
        <w:rPr>
          <w:rFonts w:ascii="Times New Roman" w:hAnsi="Times New Roman" w:cs="Times New Roman"/>
        </w:rPr>
        <w:t>Après Rapsodie (40</w:t>
      </w:r>
      <w:r w:rsidR="005732C0" w:rsidRPr="00E1009E">
        <w:rPr>
          <w:rFonts w:ascii="Times New Roman" w:hAnsi="Times New Roman" w:cs="Times New Roman"/>
        </w:rPr>
        <w:t> M</w:t>
      </w:r>
      <w:r w:rsidRPr="00E1009E">
        <w:rPr>
          <w:rFonts w:ascii="Times New Roman" w:hAnsi="Times New Roman" w:cs="Times New Roman"/>
        </w:rPr>
        <w:t xml:space="preserve">Wth) en 1967, la France </w:t>
      </w:r>
      <w:r w:rsidR="00740D64" w:rsidRPr="00E1009E">
        <w:rPr>
          <w:rFonts w:ascii="Times New Roman" w:hAnsi="Times New Roman" w:cs="Times New Roman"/>
        </w:rPr>
        <w:t>met en service Ph</w:t>
      </w:r>
      <w:r w:rsidR="0096552C" w:rsidRPr="00E1009E">
        <w:rPr>
          <w:rFonts w:ascii="Times New Roman" w:hAnsi="Times New Roman" w:cs="Times New Roman"/>
        </w:rPr>
        <w:t>é</w:t>
      </w:r>
      <w:r w:rsidR="00740D64" w:rsidRPr="00E1009E">
        <w:rPr>
          <w:rFonts w:ascii="Times New Roman" w:hAnsi="Times New Roman" w:cs="Times New Roman"/>
        </w:rPr>
        <w:t>nix (250</w:t>
      </w:r>
      <w:r w:rsidR="005732C0" w:rsidRPr="00E1009E">
        <w:rPr>
          <w:rFonts w:ascii="Times New Roman" w:hAnsi="Times New Roman" w:cs="Times New Roman"/>
        </w:rPr>
        <w:t> M</w:t>
      </w:r>
      <w:r w:rsidR="00740D64" w:rsidRPr="00E1009E">
        <w:rPr>
          <w:rFonts w:ascii="Times New Roman" w:hAnsi="Times New Roman" w:cs="Times New Roman"/>
        </w:rPr>
        <w:t xml:space="preserve">We) </w:t>
      </w:r>
      <w:r w:rsidR="00FD1031" w:rsidRPr="00E1009E">
        <w:rPr>
          <w:rFonts w:ascii="Times New Roman" w:hAnsi="Times New Roman" w:cs="Times New Roman"/>
        </w:rPr>
        <w:t xml:space="preserve">en 1973, </w:t>
      </w:r>
      <w:r w:rsidR="00740D64" w:rsidRPr="00E1009E">
        <w:rPr>
          <w:rFonts w:ascii="Times New Roman" w:hAnsi="Times New Roman" w:cs="Times New Roman"/>
        </w:rPr>
        <w:t xml:space="preserve">couplé au réseau </w:t>
      </w:r>
      <w:r w:rsidR="00E1009E" w:rsidRPr="00E1009E">
        <w:rPr>
          <w:rFonts w:ascii="Times New Roman" w:hAnsi="Times New Roman" w:cs="Times New Roman"/>
        </w:rPr>
        <w:t xml:space="preserve">durant </w:t>
      </w:r>
      <w:r w:rsidR="00740D64" w:rsidRPr="00E1009E">
        <w:rPr>
          <w:rFonts w:ascii="Times New Roman" w:hAnsi="Times New Roman" w:cs="Times New Roman"/>
        </w:rPr>
        <w:t xml:space="preserve">plus de </w:t>
      </w:r>
      <w:r w:rsidR="00E1009E" w:rsidRPr="00E1009E">
        <w:rPr>
          <w:rFonts w:ascii="Times New Roman" w:hAnsi="Times New Roman" w:cs="Times New Roman"/>
        </w:rPr>
        <w:t>trente-cinq</w:t>
      </w:r>
      <w:r w:rsidR="00740D64" w:rsidRPr="00E1009E">
        <w:rPr>
          <w:rFonts w:ascii="Times New Roman" w:hAnsi="Times New Roman" w:cs="Times New Roman"/>
        </w:rPr>
        <w:t xml:space="preserve"> années, puis Superphénix </w:t>
      </w:r>
      <w:r w:rsidR="00FD1031" w:rsidRPr="00E1009E">
        <w:rPr>
          <w:rFonts w:ascii="Times New Roman" w:hAnsi="Times New Roman" w:cs="Times New Roman"/>
        </w:rPr>
        <w:t>en 1986</w:t>
      </w:r>
      <w:r w:rsidR="00A55966" w:rsidRPr="00E1009E">
        <w:rPr>
          <w:rFonts w:ascii="Times New Roman" w:hAnsi="Times New Roman" w:cs="Times New Roman"/>
        </w:rPr>
        <w:t>,</w:t>
      </w:r>
      <w:r w:rsidR="00740D64" w:rsidRPr="00E1009E">
        <w:rPr>
          <w:rFonts w:ascii="Times New Roman" w:hAnsi="Times New Roman" w:cs="Times New Roman"/>
        </w:rPr>
        <w:t xml:space="preserve"> premier prototype industriel</w:t>
      </w:r>
      <w:r w:rsidR="003C758C" w:rsidRPr="00E1009E">
        <w:rPr>
          <w:rFonts w:ascii="Times New Roman" w:hAnsi="Times New Roman" w:cs="Times New Roman"/>
        </w:rPr>
        <w:t xml:space="preserve"> </w:t>
      </w:r>
      <w:r w:rsidR="00740D64" w:rsidRPr="00E1009E">
        <w:rPr>
          <w:rFonts w:ascii="Times New Roman" w:hAnsi="Times New Roman" w:cs="Times New Roman"/>
        </w:rPr>
        <w:t xml:space="preserve">de </w:t>
      </w:r>
      <w:r w:rsidR="003C758C" w:rsidRPr="00E1009E">
        <w:rPr>
          <w:rFonts w:ascii="Times New Roman" w:hAnsi="Times New Roman" w:cs="Times New Roman"/>
        </w:rPr>
        <w:t xml:space="preserve">grande </w:t>
      </w:r>
      <w:r w:rsidR="00740D64" w:rsidRPr="00E1009E">
        <w:rPr>
          <w:rFonts w:ascii="Times New Roman" w:hAnsi="Times New Roman" w:cs="Times New Roman"/>
        </w:rPr>
        <w:t xml:space="preserve">puissance </w:t>
      </w:r>
      <w:r w:rsidR="003C758C" w:rsidRPr="00E1009E">
        <w:rPr>
          <w:rFonts w:ascii="Times New Roman" w:hAnsi="Times New Roman" w:cs="Times New Roman"/>
        </w:rPr>
        <w:t>(1</w:t>
      </w:r>
      <w:r w:rsidR="00E1009E" w:rsidRPr="00E1009E">
        <w:rPr>
          <w:rFonts w:ascii="Times New Roman" w:hAnsi="Times New Roman" w:cs="Times New Roman"/>
        </w:rPr>
        <w:t> </w:t>
      </w:r>
      <w:r w:rsidR="003C758C" w:rsidRPr="00E1009E">
        <w:rPr>
          <w:rFonts w:ascii="Times New Roman" w:hAnsi="Times New Roman" w:cs="Times New Roman"/>
        </w:rPr>
        <w:t>200</w:t>
      </w:r>
      <w:r w:rsidR="005732C0" w:rsidRPr="00E1009E">
        <w:rPr>
          <w:rFonts w:ascii="Times New Roman" w:hAnsi="Times New Roman" w:cs="Times New Roman"/>
        </w:rPr>
        <w:t> M</w:t>
      </w:r>
      <w:r w:rsidR="003C758C" w:rsidRPr="00E1009E">
        <w:rPr>
          <w:rFonts w:ascii="Times New Roman" w:hAnsi="Times New Roman" w:cs="Times New Roman"/>
        </w:rPr>
        <w:t xml:space="preserve">We) </w:t>
      </w:r>
      <w:r w:rsidR="00740D64" w:rsidRPr="00E1009E">
        <w:rPr>
          <w:rFonts w:ascii="Times New Roman" w:hAnsi="Times New Roman" w:cs="Times New Roman"/>
        </w:rPr>
        <w:t xml:space="preserve">au monde. </w:t>
      </w:r>
      <w:r w:rsidR="00286126" w:rsidRPr="00E1009E">
        <w:rPr>
          <w:rFonts w:ascii="Times New Roman" w:hAnsi="Times New Roman" w:cs="Times New Roman"/>
        </w:rPr>
        <w:t>Mais Superphénix est arrêté par décision politique en 1</w:t>
      </w:r>
      <w:r w:rsidR="00FD1339" w:rsidRPr="00E1009E">
        <w:rPr>
          <w:rFonts w:ascii="Times New Roman" w:hAnsi="Times New Roman" w:cs="Times New Roman"/>
        </w:rPr>
        <w:t>997</w:t>
      </w:r>
      <w:r w:rsidR="00E1009E" w:rsidRPr="00E1009E">
        <w:rPr>
          <w:rFonts w:ascii="Times New Roman" w:hAnsi="Times New Roman" w:cs="Times New Roman"/>
        </w:rPr>
        <w:t>,</w:t>
      </w:r>
      <w:r w:rsidR="00FD1339" w:rsidRPr="00E1009E">
        <w:rPr>
          <w:rFonts w:ascii="Times New Roman" w:hAnsi="Times New Roman" w:cs="Times New Roman"/>
        </w:rPr>
        <w:t xml:space="preserve"> comme </w:t>
      </w:r>
      <w:r w:rsidR="003C758C" w:rsidRPr="00E1009E">
        <w:rPr>
          <w:rFonts w:ascii="Times New Roman" w:hAnsi="Times New Roman" w:cs="Times New Roman"/>
        </w:rPr>
        <w:t>monnaie</w:t>
      </w:r>
      <w:r w:rsidR="00FD1339" w:rsidRPr="00E1009E">
        <w:rPr>
          <w:rFonts w:ascii="Times New Roman" w:hAnsi="Times New Roman" w:cs="Times New Roman"/>
        </w:rPr>
        <w:t xml:space="preserve"> d’échange dans un accord électoraliste </w:t>
      </w:r>
      <w:r w:rsidR="00E1009E" w:rsidRPr="00E1009E">
        <w:rPr>
          <w:rFonts w:ascii="Times New Roman" w:hAnsi="Times New Roman" w:cs="Times New Roman"/>
        </w:rPr>
        <w:t>du PS-</w:t>
      </w:r>
      <w:r w:rsidR="00FD1339" w:rsidRPr="00E1009E">
        <w:rPr>
          <w:rFonts w:ascii="Times New Roman" w:hAnsi="Times New Roman" w:cs="Times New Roman"/>
        </w:rPr>
        <w:t xml:space="preserve">écologistes. Cet arrêt met fin à la cohérence </w:t>
      </w:r>
      <w:r w:rsidR="00402515" w:rsidRPr="00E1009E">
        <w:rPr>
          <w:rFonts w:ascii="Times New Roman" w:hAnsi="Times New Roman" w:cs="Times New Roman"/>
        </w:rPr>
        <w:t xml:space="preserve">de l’électronucléaire français qui visait </w:t>
      </w:r>
      <w:r w:rsidR="00E8757A" w:rsidRPr="00E1009E">
        <w:rPr>
          <w:rFonts w:ascii="Times New Roman" w:hAnsi="Times New Roman" w:cs="Times New Roman"/>
        </w:rPr>
        <w:t xml:space="preserve">l’indépendance énergétique de la </w:t>
      </w:r>
      <w:r w:rsidR="00471B49" w:rsidRPr="00E1009E">
        <w:rPr>
          <w:rFonts w:ascii="Times New Roman" w:hAnsi="Times New Roman" w:cs="Times New Roman"/>
        </w:rPr>
        <w:t>F</w:t>
      </w:r>
      <w:r w:rsidR="00E8757A" w:rsidRPr="00E1009E">
        <w:rPr>
          <w:rFonts w:ascii="Times New Roman" w:hAnsi="Times New Roman" w:cs="Times New Roman"/>
        </w:rPr>
        <w:t xml:space="preserve">rance grâce </w:t>
      </w:r>
      <w:r w:rsidR="00471B49" w:rsidRPr="00E1009E">
        <w:rPr>
          <w:rFonts w:ascii="Times New Roman" w:hAnsi="Times New Roman" w:cs="Times New Roman"/>
        </w:rPr>
        <w:t xml:space="preserve">à </w:t>
      </w:r>
      <w:r w:rsidR="00402515" w:rsidRPr="00E1009E">
        <w:rPr>
          <w:rFonts w:ascii="Times New Roman" w:hAnsi="Times New Roman" w:cs="Times New Roman"/>
        </w:rPr>
        <w:t>ses ressources stratégiques dispon</w:t>
      </w:r>
      <w:r w:rsidR="00E1009E" w:rsidRPr="00E1009E">
        <w:rPr>
          <w:rFonts w:ascii="Times New Roman" w:hAnsi="Times New Roman" w:cs="Times New Roman"/>
        </w:rPr>
        <w:t>ibles sur son territoire.</w:t>
      </w:r>
    </w:p>
    <w:p w14:paraId="19471D46" w14:textId="77777777" w:rsidR="00AF2AB0" w:rsidRPr="00E1009E" w:rsidRDefault="00AF2AB0" w:rsidP="00394886">
      <w:pPr>
        <w:spacing w:after="0" w:line="360" w:lineRule="auto"/>
        <w:jc w:val="both"/>
        <w:rPr>
          <w:rFonts w:ascii="Times New Roman" w:hAnsi="Times New Roman" w:cs="Times New Roman"/>
        </w:rPr>
      </w:pPr>
    </w:p>
    <w:p w14:paraId="147F72B6" w14:textId="64751959" w:rsidR="00E1009E" w:rsidRPr="00AF2AB0" w:rsidRDefault="00AF2AB0" w:rsidP="00AF2AB0">
      <w:pPr>
        <w:spacing w:line="360" w:lineRule="auto"/>
        <w:jc w:val="center"/>
        <w:rPr>
          <w:b/>
        </w:rPr>
      </w:pPr>
      <w:r w:rsidRPr="00AF2AB0">
        <w:rPr>
          <w:b/>
        </w:rPr>
        <w:t>RÉACTEURS À NEUTROS RAPIDES DANS LE MONDE</w:t>
      </w:r>
    </w:p>
    <w:tbl>
      <w:tblPr>
        <w:tblStyle w:val="TableauGrille2-Accentuation1"/>
        <w:tblW w:w="0" w:type="auto"/>
        <w:tblLook w:val="04A0" w:firstRow="1" w:lastRow="0" w:firstColumn="1" w:lastColumn="0" w:noHBand="0" w:noVBand="1"/>
      </w:tblPr>
      <w:tblGrid>
        <w:gridCol w:w="1366"/>
        <w:gridCol w:w="3029"/>
        <w:gridCol w:w="1275"/>
        <w:gridCol w:w="1985"/>
      </w:tblGrid>
      <w:tr w:rsidR="002373AF" w14:paraId="767803C6" w14:textId="77777777" w:rsidTr="006D16FB">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7655" w:type="dxa"/>
            <w:gridSpan w:val="4"/>
          </w:tcPr>
          <w:p w14:paraId="28A253DD" w14:textId="24D01232" w:rsidR="00AF2AB0" w:rsidRPr="00AF2AB0" w:rsidRDefault="00AF2AB0" w:rsidP="00AF2AB0">
            <w:pPr>
              <w:tabs>
                <w:tab w:val="left" w:pos="1380"/>
                <w:tab w:val="left" w:pos="4380"/>
              </w:tabs>
              <w:spacing w:line="360" w:lineRule="auto"/>
              <w:rPr>
                <w:smallCaps/>
              </w:rPr>
            </w:pPr>
            <w:r w:rsidRPr="00AF2AB0">
              <w:rPr>
                <w:smallCaps/>
              </w:rPr>
              <w:t>Nom</w:t>
            </w:r>
            <w:r w:rsidRPr="00AF2AB0">
              <w:rPr>
                <w:smallCaps/>
              </w:rPr>
              <w:tab/>
              <w:t xml:space="preserve">Localisation </w:t>
            </w:r>
            <w:r w:rsidRPr="00AF2AB0">
              <w:rPr>
                <w:smallCaps/>
              </w:rPr>
              <w:tab/>
              <w:t xml:space="preserve">Puissance </w:t>
            </w:r>
            <w:r w:rsidRPr="00AF2AB0">
              <w:rPr>
                <w:smallCaps/>
              </w:rPr>
              <w:tab/>
              <w:t>En service</w:t>
            </w:r>
          </w:p>
        </w:tc>
      </w:tr>
      <w:tr w:rsidR="00A20C9C" w:rsidRPr="00B87E1C" w14:paraId="33D52D12" w14:textId="77777777" w:rsidTr="006D16F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66" w:type="dxa"/>
          </w:tcPr>
          <w:p w14:paraId="7862E86E" w14:textId="69D83322" w:rsidR="00452B31" w:rsidRPr="00B87E1C" w:rsidRDefault="00452B31" w:rsidP="00394886">
            <w:pPr>
              <w:spacing w:line="360" w:lineRule="auto"/>
              <w:jc w:val="both"/>
              <w:rPr>
                <w:sz w:val="20"/>
                <w:szCs w:val="20"/>
              </w:rPr>
            </w:pPr>
            <w:r w:rsidRPr="00B87E1C">
              <w:rPr>
                <w:sz w:val="20"/>
                <w:szCs w:val="20"/>
              </w:rPr>
              <w:t>Fermi 1</w:t>
            </w:r>
          </w:p>
        </w:tc>
        <w:tc>
          <w:tcPr>
            <w:tcW w:w="3029" w:type="dxa"/>
          </w:tcPr>
          <w:p w14:paraId="057BC764" w14:textId="0B1A98F5" w:rsidR="00452B31" w:rsidRPr="00B87E1C" w:rsidRDefault="00E1009E" w:rsidP="00481AD5">
            <w:pPr>
              <w:spacing w:line="360" w:lineRule="auto"/>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États-Unis</w:t>
            </w:r>
            <w:r w:rsidR="00452B31" w:rsidRPr="00B87E1C">
              <w:rPr>
                <w:sz w:val="20"/>
                <w:szCs w:val="20"/>
              </w:rPr>
              <w:t xml:space="preserve"> (Detroit)</w:t>
            </w:r>
          </w:p>
        </w:tc>
        <w:tc>
          <w:tcPr>
            <w:tcW w:w="1275" w:type="dxa"/>
          </w:tcPr>
          <w:p w14:paraId="789CEB84" w14:textId="3BC9152E" w:rsidR="00452B31" w:rsidRPr="00B87E1C" w:rsidRDefault="00452B31"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61</w:t>
            </w:r>
            <w:r w:rsidR="005732C0" w:rsidRPr="00B87E1C">
              <w:rPr>
                <w:sz w:val="20"/>
                <w:szCs w:val="20"/>
              </w:rPr>
              <w:t> M</w:t>
            </w:r>
            <w:r w:rsidRPr="00B87E1C">
              <w:rPr>
                <w:sz w:val="20"/>
                <w:szCs w:val="20"/>
              </w:rPr>
              <w:t>We</w:t>
            </w:r>
          </w:p>
        </w:tc>
        <w:tc>
          <w:tcPr>
            <w:tcW w:w="1985" w:type="dxa"/>
          </w:tcPr>
          <w:p w14:paraId="37041CE4" w14:textId="7468E9C8" w:rsidR="00452B31" w:rsidRPr="00B87E1C" w:rsidRDefault="00452B31" w:rsidP="00AF2AB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1966</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1972</w:t>
            </w:r>
          </w:p>
        </w:tc>
      </w:tr>
      <w:tr w:rsidR="00A20C9C" w:rsidRPr="00B87E1C" w14:paraId="55850BCE" w14:textId="77777777" w:rsidTr="006D16FB">
        <w:trPr>
          <w:trHeight w:val="352"/>
        </w:trPr>
        <w:tc>
          <w:tcPr>
            <w:cnfStyle w:val="001000000000" w:firstRow="0" w:lastRow="0" w:firstColumn="1" w:lastColumn="0" w:oddVBand="0" w:evenVBand="0" w:oddHBand="0" w:evenHBand="0" w:firstRowFirstColumn="0" w:firstRowLastColumn="0" w:lastRowFirstColumn="0" w:lastRowLastColumn="0"/>
            <w:tcW w:w="1366" w:type="dxa"/>
          </w:tcPr>
          <w:p w14:paraId="142EE801" w14:textId="411867A3" w:rsidR="00452B31" w:rsidRPr="00B87E1C" w:rsidRDefault="00452B31" w:rsidP="00394886">
            <w:pPr>
              <w:spacing w:line="360" w:lineRule="auto"/>
              <w:jc w:val="both"/>
              <w:rPr>
                <w:sz w:val="20"/>
                <w:szCs w:val="20"/>
              </w:rPr>
            </w:pPr>
            <w:r w:rsidRPr="00B87E1C">
              <w:rPr>
                <w:sz w:val="20"/>
                <w:szCs w:val="20"/>
              </w:rPr>
              <w:t>Ph</w:t>
            </w:r>
            <w:r w:rsidR="0096552C" w:rsidRPr="00B87E1C">
              <w:rPr>
                <w:sz w:val="20"/>
                <w:szCs w:val="20"/>
              </w:rPr>
              <w:t>é</w:t>
            </w:r>
            <w:r w:rsidRPr="00B87E1C">
              <w:rPr>
                <w:sz w:val="20"/>
                <w:szCs w:val="20"/>
              </w:rPr>
              <w:t>nix</w:t>
            </w:r>
          </w:p>
        </w:tc>
        <w:tc>
          <w:tcPr>
            <w:tcW w:w="3029" w:type="dxa"/>
          </w:tcPr>
          <w:p w14:paraId="66872762" w14:textId="1C3AFAEC" w:rsidR="00452B31" w:rsidRPr="00B87E1C" w:rsidRDefault="00452B31"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France (Marcoule)</w:t>
            </w:r>
          </w:p>
        </w:tc>
        <w:tc>
          <w:tcPr>
            <w:tcW w:w="1275" w:type="dxa"/>
          </w:tcPr>
          <w:p w14:paraId="69FEBD34" w14:textId="14BE88F3" w:rsidR="00452B31" w:rsidRPr="00B87E1C" w:rsidRDefault="00452B31"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250</w:t>
            </w:r>
            <w:r w:rsidR="005732C0" w:rsidRPr="00B87E1C">
              <w:rPr>
                <w:sz w:val="20"/>
                <w:szCs w:val="20"/>
              </w:rPr>
              <w:t> M</w:t>
            </w:r>
            <w:r w:rsidRPr="00B87E1C">
              <w:rPr>
                <w:sz w:val="20"/>
                <w:szCs w:val="20"/>
              </w:rPr>
              <w:t>We</w:t>
            </w:r>
          </w:p>
        </w:tc>
        <w:tc>
          <w:tcPr>
            <w:tcW w:w="1985" w:type="dxa"/>
          </w:tcPr>
          <w:p w14:paraId="6CAD7597" w14:textId="58FD3861" w:rsidR="00452B31" w:rsidRPr="00B87E1C" w:rsidRDefault="00452B31" w:rsidP="00AF2AB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1973</w:t>
            </w:r>
            <w:r w:rsidR="00D80CAA" w:rsidRPr="00B87E1C">
              <w:rPr>
                <w:sz w:val="20"/>
                <w:szCs w:val="20"/>
              </w:rPr>
              <w:t xml:space="preserve"> </w:t>
            </w:r>
            <w:r w:rsidR="00AF2AB0">
              <w:rPr>
                <w:sz w:val="20"/>
                <w:szCs w:val="20"/>
              </w:rPr>
              <w:t>à</w:t>
            </w:r>
            <w:r w:rsidR="00D80CAA" w:rsidRPr="00B87E1C">
              <w:rPr>
                <w:sz w:val="20"/>
                <w:szCs w:val="20"/>
              </w:rPr>
              <w:t xml:space="preserve"> </w:t>
            </w:r>
            <w:r w:rsidR="000335AA" w:rsidRPr="00B87E1C">
              <w:rPr>
                <w:sz w:val="20"/>
                <w:szCs w:val="20"/>
              </w:rPr>
              <w:t>2010</w:t>
            </w:r>
          </w:p>
        </w:tc>
      </w:tr>
      <w:tr w:rsidR="00A20C9C" w:rsidRPr="00B87E1C" w14:paraId="2EFC6433" w14:textId="77777777" w:rsidTr="006D16F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66" w:type="dxa"/>
          </w:tcPr>
          <w:p w14:paraId="6C22B1AE" w14:textId="763A31BA" w:rsidR="00452B31" w:rsidRPr="00B87E1C" w:rsidRDefault="000335AA" w:rsidP="00394886">
            <w:pPr>
              <w:spacing w:line="360" w:lineRule="auto"/>
              <w:jc w:val="both"/>
              <w:rPr>
                <w:sz w:val="20"/>
                <w:szCs w:val="20"/>
              </w:rPr>
            </w:pPr>
            <w:r w:rsidRPr="00B87E1C">
              <w:rPr>
                <w:sz w:val="20"/>
                <w:szCs w:val="20"/>
              </w:rPr>
              <w:t>Superphénix</w:t>
            </w:r>
          </w:p>
        </w:tc>
        <w:tc>
          <w:tcPr>
            <w:tcW w:w="3029" w:type="dxa"/>
          </w:tcPr>
          <w:p w14:paraId="0A0743DF" w14:textId="1DC80443" w:rsidR="00452B31" w:rsidRPr="00B87E1C" w:rsidRDefault="000335AA"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France (</w:t>
            </w:r>
            <w:r w:rsidR="0010499B" w:rsidRPr="00B87E1C">
              <w:rPr>
                <w:sz w:val="20"/>
                <w:szCs w:val="20"/>
              </w:rPr>
              <w:t>Creys-Malville</w:t>
            </w:r>
            <w:r w:rsidRPr="00B87E1C">
              <w:rPr>
                <w:sz w:val="20"/>
                <w:szCs w:val="20"/>
              </w:rPr>
              <w:t>)</w:t>
            </w:r>
          </w:p>
        </w:tc>
        <w:tc>
          <w:tcPr>
            <w:tcW w:w="1275" w:type="dxa"/>
          </w:tcPr>
          <w:p w14:paraId="53C3659A" w14:textId="37511CDF" w:rsidR="00452B31" w:rsidRPr="00B87E1C" w:rsidRDefault="000335AA"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1</w:t>
            </w:r>
            <w:r w:rsidR="00AF2AB0">
              <w:rPr>
                <w:sz w:val="20"/>
                <w:szCs w:val="20"/>
              </w:rPr>
              <w:t> </w:t>
            </w:r>
            <w:r w:rsidRPr="00B87E1C">
              <w:rPr>
                <w:sz w:val="20"/>
                <w:szCs w:val="20"/>
              </w:rPr>
              <w:t>200</w:t>
            </w:r>
            <w:r w:rsidR="005732C0" w:rsidRPr="00B87E1C">
              <w:rPr>
                <w:sz w:val="20"/>
                <w:szCs w:val="20"/>
              </w:rPr>
              <w:t> M</w:t>
            </w:r>
            <w:r w:rsidRPr="00B87E1C">
              <w:rPr>
                <w:sz w:val="20"/>
                <w:szCs w:val="20"/>
              </w:rPr>
              <w:t>W</w:t>
            </w:r>
            <w:r w:rsidR="005C6F58" w:rsidRPr="00B87E1C">
              <w:rPr>
                <w:sz w:val="20"/>
                <w:szCs w:val="20"/>
              </w:rPr>
              <w:t>e</w:t>
            </w:r>
          </w:p>
        </w:tc>
        <w:tc>
          <w:tcPr>
            <w:tcW w:w="1985" w:type="dxa"/>
          </w:tcPr>
          <w:p w14:paraId="0A1DA981" w14:textId="7A34D04B" w:rsidR="00452B31" w:rsidRPr="00B87E1C" w:rsidRDefault="005C6F58" w:rsidP="00AF2AB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1986</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1997</w:t>
            </w:r>
          </w:p>
        </w:tc>
      </w:tr>
      <w:tr w:rsidR="00A20C9C" w:rsidRPr="00B87E1C" w14:paraId="24BF2FF7" w14:textId="77777777" w:rsidTr="006D16FB">
        <w:trPr>
          <w:trHeight w:val="352"/>
        </w:trPr>
        <w:tc>
          <w:tcPr>
            <w:cnfStyle w:val="001000000000" w:firstRow="0" w:lastRow="0" w:firstColumn="1" w:lastColumn="0" w:oddVBand="0" w:evenVBand="0" w:oddHBand="0" w:evenHBand="0" w:firstRowFirstColumn="0" w:firstRowLastColumn="0" w:lastRowFirstColumn="0" w:lastRowLastColumn="0"/>
            <w:tcW w:w="1366" w:type="dxa"/>
          </w:tcPr>
          <w:p w14:paraId="239CC40F" w14:textId="11360901" w:rsidR="00452B31" w:rsidRPr="00B87E1C" w:rsidRDefault="005C6F58" w:rsidP="00394886">
            <w:pPr>
              <w:spacing w:line="360" w:lineRule="auto"/>
              <w:jc w:val="both"/>
              <w:rPr>
                <w:sz w:val="20"/>
                <w:szCs w:val="20"/>
              </w:rPr>
            </w:pPr>
            <w:r w:rsidRPr="00B87E1C">
              <w:rPr>
                <w:sz w:val="20"/>
                <w:szCs w:val="20"/>
              </w:rPr>
              <w:t>DFR</w:t>
            </w:r>
          </w:p>
        </w:tc>
        <w:tc>
          <w:tcPr>
            <w:tcW w:w="3029" w:type="dxa"/>
          </w:tcPr>
          <w:p w14:paraId="501A2A85" w14:textId="50A0FF10" w:rsidR="00452B31" w:rsidRPr="00B87E1C" w:rsidRDefault="00E1009E"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Royaume-Uni</w:t>
            </w:r>
            <w:r w:rsidR="005C6F58" w:rsidRPr="00B87E1C">
              <w:rPr>
                <w:sz w:val="20"/>
                <w:szCs w:val="20"/>
              </w:rPr>
              <w:t xml:space="preserve"> (Dounray)</w:t>
            </w:r>
          </w:p>
        </w:tc>
        <w:tc>
          <w:tcPr>
            <w:tcW w:w="1275" w:type="dxa"/>
          </w:tcPr>
          <w:p w14:paraId="16DE1D91" w14:textId="0FFB7CE1" w:rsidR="00452B31" w:rsidRPr="00B87E1C" w:rsidRDefault="005C6F58"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11</w:t>
            </w:r>
            <w:r w:rsidR="005732C0" w:rsidRPr="00B87E1C">
              <w:rPr>
                <w:sz w:val="20"/>
                <w:szCs w:val="20"/>
              </w:rPr>
              <w:t> M</w:t>
            </w:r>
            <w:r w:rsidRPr="00B87E1C">
              <w:rPr>
                <w:sz w:val="20"/>
                <w:szCs w:val="20"/>
              </w:rPr>
              <w:t>We</w:t>
            </w:r>
          </w:p>
        </w:tc>
        <w:tc>
          <w:tcPr>
            <w:tcW w:w="1985" w:type="dxa"/>
          </w:tcPr>
          <w:p w14:paraId="6220F0B5" w14:textId="76A67654" w:rsidR="00452B31" w:rsidRPr="00B87E1C" w:rsidRDefault="00B50A27" w:rsidP="00AF2AB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1962</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1977</w:t>
            </w:r>
          </w:p>
        </w:tc>
      </w:tr>
      <w:tr w:rsidR="00A20C9C" w:rsidRPr="00B87E1C" w14:paraId="2C282DA5" w14:textId="77777777" w:rsidTr="006D16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366" w:type="dxa"/>
          </w:tcPr>
          <w:p w14:paraId="559FD2E6" w14:textId="26F8DFEF" w:rsidR="00452B31" w:rsidRPr="00B87E1C" w:rsidRDefault="00B50A27" w:rsidP="00394886">
            <w:pPr>
              <w:spacing w:line="360" w:lineRule="auto"/>
              <w:jc w:val="both"/>
              <w:rPr>
                <w:sz w:val="20"/>
                <w:szCs w:val="20"/>
              </w:rPr>
            </w:pPr>
            <w:r w:rsidRPr="00B87E1C">
              <w:rPr>
                <w:sz w:val="20"/>
                <w:szCs w:val="20"/>
              </w:rPr>
              <w:t>PFR</w:t>
            </w:r>
          </w:p>
        </w:tc>
        <w:tc>
          <w:tcPr>
            <w:tcW w:w="3029" w:type="dxa"/>
          </w:tcPr>
          <w:p w14:paraId="6F6A95EC" w14:textId="4EE2801B" w:rsidR="00452B31" w:rsidRPr="00B87E1C" w:rsidRDefault="00E1009E"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 xml:space="preserve">Royaume-Uni </w:t>
            </w:r>
            <w:r w:rsidR="00B50A27" w:rsidRPr="00B87E1C">
              <w:rPr>
                <w:sz w:val="20"/>
                <w:szCs w:val="20"/>
              </w:rPr>
              <w:t>(Dounray)</w:t>
            </w:r>
          </w:p>
        </w:tc>
        <w:tc>
          <w:tcPr>
            <w:tcW w:w="1275" w:type="dxa"/>
          </w:tcPr>
          <w:p w14:paraId="67066CCD" w14:textId="018814C4" w:rsidR="00452B31" w:rsidRPr="00B87E1C" w:rsidRDefault="00BC1D1B"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234</w:t>
            </w:r>
            <w:r w:rsidR="005732C0" w:rsidRPr="00B87E1C">
              <w:rPr>
                <w:sz w:val="20"/>
                <w:szCs w:val="20"/>
              </w:rPr>
              <w:t> M</w:t>
            </w:r>
            <w:r w:rsidRPr="00B87E1C">
              <w:rPr>
                <w:sz w:val="20"/>
                <w:szCs w:val="20"/>
              </w:rPr>
              <w:t>We</w:t>
            </w:r>
          </w:p>
        </w:tc>
        <w:tc>
          <w:tcPr>
            <w:tcW w:w="1985" w:type="dxa"/>
          </w:tcPr>
          <w:p w14:paraId="7C88EE3A" w14:textId="2B45F2E0" w:rsidR="00452B31" w:rsidRPr="00B87E1C" w:rsidRDefault="00BC1D1B" w:rsidP="00AF2AB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1975</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1994</w:t>
            </w:r>
          </w:p>
        </w:tc>
      </w:tr>
      <w:tr w:rsidR="00A20C9C" w:rsidRPr="00B87E1C" w14:paraId="3CEACFBA" w14:textId="77777777" w:rsidTr="006D16FB">
        <w:trPr>
          <w:trHeight w:val="352"/>
        </w:trPr>
        <w:tc>
          <w:tcPr>
            <w:cnfStyle w:val="001000000000" w:firstRow="0" w:lastRow="0" w:firstColumn="1" w:lastColumn="0" w:oddVBand="0" w:evenVBand="0" w:oddHBand="0" w:evenHBand="0" w:firstRowFirstColumn="0" w:firstRowLastColumn="0" w:lastRowFirstColumn="0" w:lastRowLastColumn="0"/>
            <w:tcW w:w="1366" w:type="dxa"/>
          </w:tcPr>
          <w:p w14:paraId="1C6BCF1C" w14:textId="759152BF" w:rsidR="00452B31" w:rsidRPr="00B87E1C" w:rsidRDefault="000C098B" w:rsidP="00394886">
            <w:pPr>
              <w:spacing w:line="360" w:lineRule="auto"/>
              <w:jc w:val="both"/>
              <w:rPr>
                <w:sz w:val="20"/>
                <w:szCs w:val="20"/>
              </w:rPr>
            </w:pPr>
            <w:r w:rsidRPr="00B87E1C">
              <w:rPr>
                <w:sz w:val="20"/>
                <w:szCs w:val="20"/>
              </w:rPr>
              <w:t>KNK</w:t>
            </w:r>
          </w:p>
        </w:tc>
        <w:tc>
          <w:tcPr>
            <w:tcW w:w="3029" w:type="dxa"/>
          </w:tcPr>
          <w:p w14:paraId="6EF5398A" w14:textId="525F8101" w:rsidR="00452B31" w:rsidRPr="00B87E1C" w:rsidRDefault="000C098B"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Allemagne (Karlsruhe)</w:t>
            </w:r>
          </w:p>
        </w:tc>
        <w:tc>
          <w:tcPr>
            <w:tcW w:w="1275" w:type="dxa"/>
          </w:tcPr>
          <w:p w14:paraId="50AD5134" w14:textId="1274949D" w:rsidR="00452B31" w:rsidRPr="00B87E1C" w:rsidRDefault="000C098B"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17</w:t>
            </w:r>
            <w:r w:rsidR="005732C0" w:rsidRPr="00B87E1C">
              <w:rPr>
                <w:sz w:val="20"/>
                <w:szCs w:val="20"/>
              </w:rPr>
              <w:t> M</w:t>
            </w:r>
            <w:r w:rsidRPr="00B87E1C">
              <w:rPr>
                <w:sz w:val="20"/>
                <w:szCs w:val="20"/>
              </w:rPr>
              <w:t>We</w:t>
            </w:r>
          </w:p>
        </w:tc>
        <w:tc>
          <w:tcPr>
            <w:tcW w:w="1985" w:type="dxa"/>
          </w:tcPr>
          <w:p w14:paraId="24110B4A" w14:textId="7AA4C5DE" w:rsidR="00452B31" w:rsidRPr="00B87E1C" w:rsidRDefault="00864CBF"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1978</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1991</w:t>
            </w:r>
          </w:p>
        </w:tc>
      </w:tr>
      <w:tr w:rsidR="00A20C9C" w:rsidRPr="00B87E1C" w14:paraId="71142639" w14:textId="77777777" w:rsidTr="006D16F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66" w:type="dxa"/>
          </w:tcPr>
          <w:p w14:paraId="172FF51B" w14:textId="6FC36E31" w:rsidR="00452B31" w:rsidRPr="00B87E1C" w:rsidRDefault="005E4A23" w:rsidP="00394886">
            <w:pPr>
              <w:spacing w:line="360" w:lineRule="auto"/>
              <w:jc w:val="both"/>
              <w:rPr>
                <w:sz w:val="20"/>
                <w:szCs w:val="20"/>
              </w:rPr>
            </w:pPr>
            <w:r w:rsidRPr="00B87E1C">
              <w:rPr>
                <w:sz w:val="20"/>
                <w:szCs w:val="20"/>
              </w:rPr>
              <w:t>BN</w:t>
            </w:r>
            <w:r w:rsidR="00AF150A" w:rsidRPr="00B87E1C">
              <w:rPr>
                <w:sz w:val="20"/>
                <w:szCs w:val="20"/>
              </w:rPr>
              <w:t xml:space="preserve"> </w:t>
            </w:r>
            <w:r w:rsidRPr="00B87E1C">
              <w:rPr>
                <w:sz w:val="20"/>
                <w:szCs w:val="20"/>
              </w:rPr>
              <w:t>350</w:t>
            </w:r>
          </w:p>
        </w:tc>
        <w:tc>
          <w:tcPr>
            <w:tcW w:w="3029" w:type="dxa"/>
          </w:tcPr>
          <w:p w14:paraId="25DABAD1" w14:textId="3E614AA6" w:rsidR="00452B31" w:rsidRPr="00B87E1C" w:rsidRDefault="005E4A23"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Kazakstan (Aktau)</w:t>
            </w:r>
          </w:p>
        </w:tc>
        <w:tc>
          <w:tcPr>
            <w:tcW w:w="1275" w:type="dxa"/>
          </w:tcPr>
          <w:p w14:paraId="533DABA2" w14:textId="5CB22473" w:rsidR="00452B31" w:rsidRPr="00B87E1C" w:rsidRDefault="00AF150A"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52</w:t>
            </w:r>
            <w:r w:rsidR="005732C0" w:rsidRPr="00B87E1C">
              <w:rPr>
                <w:sz w:val="20"/>
                <w:szCs w:val="20"/>
              </w:rPr>
              <w:t> M</w:t>
            </w:r>
            <w:r w:rsidRPr="00B87E1C">
              <w:rPr>
                <w:sz w:val="20"/>
                <w:szCs w:val="20"/>
              </w:rPr>
              <w:t>We</w:t>
            </w:r>
          </w:p>
        </w:tc>
        <w:tc>
          <w:tcPr>
            <w:tcW w:w="1985" w:type="dxa"/>
          </w:tcPr>
          <w:p w14:paraId="7FEE392B" w14:textId="6BCCAF06" w:rsidR="00452B31" w:rsidRPr="00B87E1C" w:rsidRDefault="00AF150A" w:rsidP="00AF2AB0">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1973</w:t>
            </w:r>
            <w:r w:rsidR="00D80CAA" w:rsidRPr="00B87E1C">
              <w:rPr>
                <w:sz w:val="20"/>
                <w:szCs w:val="20"/>
              </w:rPr>
              <w:t xml:space="preserve"> </w:t>
            </w:r>
            <w:r w:rsidR="00AF2AB0">
              <w:rPr>
                <w:sz w:val="20"/>
                <w:szCs w:val="20"/>
              </w:rPr>
              <w:t>à</w:t>
            </w:r>
            <w:r w:rsidR="00D80CAA" w:rsidRPr="00B87E1C">
              <w:rPr>
                <w:sz w:val="20"/>
                <w:szCs w:val="20"/>
              </w:rPr>
              <w:t xml:space="preserve"> </w:t>
            </w:r>
            <w:r w:rsidRPr="00B87E1C">
              <w:rPr>
                <w:sz w:val="20"/>
                <w:szCs w:val="20"/>
              </w:rPr>
              <w:t>1999</w:t>
            </w:r>
          </w:p>
        </w:tc>
      </w:tr>
      <w:tr w:rsidR="00A20C9C" w:rsidRPr="00B87E1C" w14:paraId="16ABEAAB" w14:textId="77777777" w:rsidTr="006D16FB">
        <w:trPr>
          <w:trHeight w:val="352"/>
        </w:trPr>
        <w:tc>
          <w:tcPr>
            <w:cnfStyle w:val="001000000000" w:firstRow="0" w:lastRow="0" w:firstColumn="1" w:lastColumn="0" w:oddVBand="0" w:evenVBand="0" w:oddHBand="0" w:evenHBand="0" w:firstRowFirstColumn="0" w:firstRowLastColumn="0" w:lastRowFirstColumn="0" w:lastRowLastColumn="0"/>
            <w:tcW w:w="1366" w:type="dxa"/>
          </w:tcPr>
          <w:p w14:paraId="2D0B3F6F" w14:textId="276566BC" w:rsidR="00452B31" w:rsidRPr="00B87E1C" w:rsidRDefault="00AF150A" w:rsidP="00394886">
            <w:pPr>
              <w:spacing w:line="360" w:lineRule="auto"/>
              <w:jc w:val="both"/>
              <w:rPr>
                <w:sz w:val="20"/>
                <w:szCs w:val="20"/>
              </w:rPr>
            </w:pPr>
            <w:r w:rsidRPr="00B87E1C">
              <w:rPr>
                <w:sz w:val="20"/>
                <w:szCs w:val="20"/>
              </w:rPr>
              <w:t>BN 600</w:t>
            </w:r>
          </w:p>
        </w:tc>
        <w:tc>
          <w:tcPr>
            <w:tcW w:w="3029" w:type="dxa"/>
          </w:tcPr>
          <w:p w14:paraId="238D605D" w14:textId="15F898E8" w:rsidR="00452B31" w:rsidRPr="00B87E1C" w:rsidRDefault="00AF150A"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Russie</w:t>
            </w:r>
            <w:r w:rsidR="00207E68" w:rsidRPr="00B87E1C">
              <w:rPr>
                <w:sz w:val="20"/>
                <w:szCs w:val="20"/>
              </w:rPr>
              <w:t xml:space="preserve"> (Belo</w:t>
            </w:r>
            <w:r w:rsidR="004B4F26" w:rsidRPr="00B87E1C">
              <w:rPr>
                <w:sz w:val="20"/>
                <w:szCs w:val="20"/>
              </w:rPr>
              <w:t>ï</w:t>
            </w:r>
            <w:r w:rsidR="00207E68" w:rsidRPr="00B87E1C">
              <w:rPr>
                <w:sz w:val="20"/>
                <w:szCs w:val="20"/>
              </w:rPr>
              <w:t>arsk)</w:t>
            </w:r>
          </w:p>
        </w:tc>
        <w:tc>
          <w:tcPr>
            <w:tcW w:w="1275" w:type="dxa"/>
          </w:tcPr>
          <w:p w14:paraId="01B69DDD" w14:textId="4AF56C87" w:rsidR="00452B31" w:rsidRPr="00B87E1C" w:rsidRDefault="00F3563E"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60</w:t>
            </w:r>
            <w:r w:rsidR="00207E68" w:rsidRPr="00B87E1C">
              <w:rPr>
                <w:sz w:val="20"/>
                <w:szCs w:val="20"/>
              </w:rPr>
              <w:t>0</w:t>
            </w:r>
            <w:r w:rsidR="005732C0" w:rsidRPr="00B87E1C">
              <w:rPr>
                <w:sz w:val="20"/>
                <w:szCs w:val="20"/>
              </w:rPr>
              <w:t> M</w:t>
            </w:r>
            <w:r w:rsidR="00207E68" w:rsidRPr="00B87E1C">
              <w:rPr>
                <w:sz w:val="20"/>
                <w:szCs w:val="20"/>
              </w:rPr>
              <w:t>We</w:t>
            </w:r>
          </w:p>
        </w:tc>
        <w:tc>
          <w:tcPr>
            <w:tcW w:w="1985" w:type="dxa"/>
          </w:tcPr>
          <w:p w14:paraId="55D2E51A" w14:textId="0C1B446B" w:rsidR="00452B31" w:rsidRPr="00B87E1C" w:rsidRDefault="00207E68"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1980</w:t>
            </w:r>
            <w:r w:rsidR="00D80CAA" w:rsidRPr="00B87E1C">
              <w:rPr>
                <w:sz w:val="20"/>
                <w:szCs w:val="20"/>
              </w:rPr>
              <w:t xml:space="preserve"> </w:t>
            </w:r>
            <w:r w:rsidRPr="00B87E1C">
              <w:rPr>
                <w:sz w:val="20"/>
                <w:szCs w:val="20"/>
              </w:rPr>
              <w:t xml:space="preserve">- </w:t>
            </w:r>
          </w:p>
        </w:tc>
      </w:tr>
      <w:tr w:rsidR="00A20C9C" w:rsidRPr="00B87E1C" w14:paraId="3689B0E3" w14:textId="77777777" w:rsidTr="006D16F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366" w:type="dxa"/>
          </w:tcPr>
          <w:p w14:paraId="5C5672E4" w14:textId="7D4E9C07" w:rsidR="00452B31" w:rsidRPr="00B87E1C" w:rsidRDefault="00207E68" w:rsidP="00394886">
            <w:pPr>
              <w:spacing w:line="360" w:lineRule="auto"/>
              <w:jc w:val="both"/>
              <w:rPr>
                <w:sz w:val="20"/>
                <w:szCs w:val="20"/>
              </w:rPr>
            </w:pPr>
            <w:r w:rsidRPr="00B87E1C">
              <w:rPr>
                <w:sz w:val="20"/>
                <w:szCs w:val="20"/>
              </w:rPr>
              <w:t>BN 800</w:t>
            </w:r>
          </w:p>
        </w:tc>
        <w:tc>
          <w:tcPr>
            <w:tcW w:w="3029" w:type="dxa"/>
          </w:tcPr>
          <w:p w14:paraId="7B828DAF" w14:textId="38E686BA" w:rsidR="00452B31" w:rsidRPr="00B87E1C" w:rsidRDefault="00207E68"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Russie (Belo</w:t>
            </w:r>
            <w:r w:rsidR="004B4F26" w:rsidRPr="00B87E1C">
              <w:rPr>
                <w:sz w:val="20"/>
                <w:szCs w:val="20"/>
              </w:rPr>
              <w:t>ï</w:t>
            </w:r>
            <w:r w:rsidRPr="00B87E1C">
              <w:rPr>
                <w:sz w:val="20"/>
                <w:szCs w:val="20"/>
              </w:rPr>
              <w:t>arsk)</w:t>
            </w:r>
          </w:p>
        </w:tc>
        <w:tc>
          <w:tcPr>
            <w:tcW w:w="1275" w:type="dxa"/>
          </w:tcPr>
          <w:p w14:paraId="5A827240" w14:textId="11288ED3" w:rsidR="00452B31" w:rsidRPr="00B87E1C" w:rsidRDefault="00207E68"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880</w:t>
            </w:r>
            <w:r w:rsidR="005732C0" w:rsidRPr="00B87E1C">
              <w:rPr>
                <w:sz w:val="20"/>
                <w:szCs w:val="20"/>
              </w:rPr>
              <w:t> M</w:t>
            </w:r>
            <w:r w:rsidRPr="00B87E1C">
              <w:rPr>
                <w:sz w:val="20"/>
                <w:szCs w:val="20"/>
              </w:rPr>
              <w:t>We</w:t>
            </w:r>
          </w:p>
        </w:tc>
        <w:tc>
          <w:tcPr>
            <w:tcW w:w="1985" w:type="dxa"/>
          </w:tcPr>
          <w:p w14:paraId="5965EEDE" w14:textId="046046E0" w:rsidR="00452B31" w:rsidRPr="00B87E1C" w:rsidRDefault="00A56FEF"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 xml:space="preserve">1984 - </w:t>
            </w:r>
          </w:p>
        </w:tc>
      </w:tr>
      <w:tr w:rsidR="00A20C9C" w:rsidRPr="00B87E1C" w14:paraId="3D214645" w14:textId="77777777" w:rsidTr="006D16FB">
        <w:trPr>
          <w:trHeight w:val="352"/>
        </w:trPr>
        <w:tc>
          <w:tcPr>
            <w:cnfStyle w:val="001000000000" w:firstRow="0" w:lastRow="0" w:firstColumn="1" w:lastColumn="0" w:oddVBand="0" w:evenVBand="0" w:oddHBand="0" w:evenHBand="0" w:firstRowFirstColumn="0" w:firstRowLastColumn="0" w:lastRowFirstColumn="0" w:lastRowLastColumn="0"/>
            <w:tcW w:w="1366" w:type="dxa"/>
          </w:tcPr>
          <w:p w14:paraId="5B53C011" w14:textId="32A739EF" w:rsidR="00452B31" w:rsidRPr="00B87E1C" w:rsidRDefault="00A56FEF" w:rsidP="00394886">
            <w:pPr>
              <w:spacing w:line="360" w:lineRule="auto"/>
              <w:jc w:val="both"/>
              <w:rPr>
                <w:sz w:val="20"/>
                <w:szCs w:val="20"/>
              </w:rPr>
            </w:pPr>
            <w:r w:rsidRPr="00B87E1C">
              <w:rPr>
                <w:sz w:val="20"/>
                <w:szCs w:val="20"/>
              </w:rPr>
              <w:t>Monju</w:t>
            </w:r>
          </w:p>
        </w:tc>
        <w:tc>
          <w:tcPr>
            <w:tcW w:w="3029" w:type="dxa"/>
          </w:tcPr>
          <w:p w14:paraId="36FC3095" w14:textId="00570A71" w:rsidR="00452B31" w:rsidRPr="00B87E1C" w:rsidRDefault="00A56FEF"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Japon (Tsuruga)</w:t>
            </w:r>
          </w:p>
        </w:tc>
        <w:tc>
          <w:tcPr>
            <w:tcW w:w="1275" w:type="dxa"/>
          </w:tcPr>
          <w:p w14:paraId="03E086E5" w14:textId="04F1878B" w:rsidR="00452B31" w:rsidRPr="00B87E1C" w:rsidRDefault="00A56FEF"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25</w:t>
            </w:r>
            <w:r w:rsidR="00E9313E" w:rsidRPr="00B87E1C">
              <w:rPr>
                <w:sz w:val="20"/>
                <w:szCs w:val="20"/>
              </w:rPr>
              <w:t>6</w:t>
            </w:r>
            <w:r w:rsidR="005732C0" w:rsidRPr="00B87E1C">
              <w:rPr>
                <w:sz w:val="20"/>
                <w:szCs w:val="20"/>
              </w:rPr>
              <w:t> M</w:t>
            </w:r>
            <w:r w:rsidRPr="00B87E1C">
              <w:rPr>
                <w:sz w:val="20"/>
                <w:szCs w:val="20"/>
              </w:rPr>
              <w:t>We</w:t>
            </w:r>
          </w:p>
        </w:tc>
        <w:tc>
          <w:tcPr>
            <w:tcW w:w="1985" w:type="dxa"/>
          </w:tcPr>
          <w:p w14:paraId="57A3AC99" w14:textId="1F1E24C8" w:rsidR="00452B31" w:rsidRPr="00B87E1C" w:rsidRDefault="00982665" w:rsidP="00AF2AB0">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 xml:space="preserve">1994 </w:t>
            </w:r>
            <w:r w:rsidR="00AF2AB0">
              <w:rPr>
                <w:sz w:val="20"/>
                <w:szCs w:val="20"/>
              </w:rPr>
              <w:t>à</w:t>
            </w:r>
            <w:r w:rsidRPr="00B87E1C">
              <w:rPr>
                <w:sz w:val="20"/>
                <w:szCs w:val="20"/>
              </w:rPr>
              <w:t xml:space="preserve"> </w:t>
            </w:r>
            <w:r w:rsidR="00E9313E" w:rsidRPr="00B87E1C">
              <w:rPr>
                <w:sz w:val="20"/>
                <w:szCs w:val="20"/>
              </w:rPr>
              <w:t>2016</w:t>
            </w:r>
          </w:p>
        </w:tc>
      </w:tr>
      <w:tr w:rsidR="00A20C9C" w:rsidRPr="00B87E1C" w14:paraId="61409E6F" w14:textId="77777777" w:rsidTr="006D16F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66" w:type="dxa"/>
          </w:tcPr>
          <w:p w14:paraId="409192FE" w14:textId="2DB3301A" w:rsidR="00452B31" w:rsidRPr="00B87E1C" w:rsidRDefault="00982665" w:rsidP="00394886">
            <w:pPr>
              <w:spacing w:line="360" w:lineRule="auto"/>
              <w:jc w:val="both"/>
              <w:rPr>
                <w:sz w:val="20"/>
                <w:szCs w:val="20"/>
              </w:rPr>
            </w:pPr>
            <w:r w:rsidRPr="00B87E1C">
              <w:rPr>
                <w:sz w:val="20"/>
                <w:szCs w:val="20"/>
              </w:rPr>
              <w:t>CEFR</w:t>
            </w:r>
          </w:p>
        </w:tc>
        <w:tc>
          <w:tcPr>
            <w:tcW w:w="3029" w:type="dxa"/>
          </w:tcPr>
          <w:p w14:paraId="2BC0F084" w14:textId="48A74835" w:rsidR="00452B31" w:rsidRPr="00B87E1C" w:rsidRDefault="00982665"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Chine (</w:t>
            </w:r>
            <w:r w:rsidR="00D92C94" w:rsidRPr="00B87E1C">
              <w:rPr>
                <w:sz w:val="20"/>
                <w:szCs w:val="20"/>
              </w:rPr>
              <w:t xml:space="preserve">sud de </w:t>
            </w:r>
            <w:r w:rsidR="009D692C" w:rsidRPr="00B87E1C">
              <w:rPr>
                <w:sz w:val="20"/>
                <w:szCs w:val="20"/>
              </w:rPr>
              <w:t>Beijing</w:t>
            </w:r>
            <w:r w:rsidR="007628B5" w:rsidRPr="00B87E1C">
              <w:rPr>
                <w:sz w:val="20"/>
                <w:szCs w:val="20"/>
              </w:rPr>
              <w:t>)</w:t>
            </w:r>
          </w:p>
        </w:tc>
        <w:tc>
          <w:tcPr>
            <w:tcW w:w="1275" w:type="dxa"/>
          </w:tcPr>
          <w:p w14:paraId="23D7D46B" w14:textId="7BC4D6CF" w:rsidR="00452B31" w:rsidRPr="00B87E1C" w:rsidRDefault="00982665"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B87E1C">
              <w:rPr>
                <w:sz w:val="20"/>
                <w:szCs w:val="20"/>
              </w:rPr>
              <w:t>20</w:t>
            </w:r>
            <w:r w:rsidR="005732C0" w:rsidRPr="00B87E1C">
              <w:rPr>
                <w:sz w:val="20"/>
                <w:szCs w:val="20"/>
              </w:rPr>
              <w:t> M</w:t>
            </w:r>
            <w:r w:rsidRPr="00B87E1C">
              <w:rPr>
                <w:sz w:val="20"/>
                <w:szCs w:val="20"/>
              </w:rPr>
              <w:t>We</w:t>
            </w:r>
          </w:p>
        </w:tc>
        <w:tc>
          <w:tcPr>
            <w:tcW w:w="1985" w:type="dxa"/>
          </w:tcPr>
          <w:p w14:paraId="29FCC5E5" w14:textId="52811D70" w:rsidR="00452B31" w:rsidRPr="00B87E1C" w:rsidRDefault="002F381E" w:rsidP="00394886">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AF2AB0">
              <w:rPr>
                <w:sz w:val="20"/>
                <w:szCs w:val="20"/>
              </w:rPr>
              <w:t>20</w:t>
            </w:r>
            <w:r w:rsidR="00982665" w:rsidRPr="00AF2AB0">
              <w:rPr>
                <w:sz w:val="20"/>
                <w:szCs w:val="20"/>
              </w:rPr>
              <w:t>11</w:t>
            </w:r>
            <w:r w:rsidR="007628B5" w:rsidRPr="00B87E1C">
              <w:rPr>
                <w:sz w:val="20"/>
                <w:szCs w:val="20"/>
              </w:rPr>
              <w:t xml:space="preserve"> -</w:t>
            </w:r>
          </w:p>
        </w:tc>
      </w:tr>
      <w:tr w:rsidR="00A20C9C" w:rsidRPr="00B87E1C" w14:paraId="1006AC5F" w14:textId="77777777" w:rsidTr="006D16FB">
        <w:trPr>
          <w:trHeight w:val="346"/>
        </w:trPr>
        <w:tc>
          <w:tcPr>
            <w:cnfStyle w:val="001000000000" w:firstRow="0" w:lastRow="0" w:firstColumn="1" w:lastColumn="0" w:oddVBand="0" w:evenVBand="0" w:oddHBand="0" w:evenHBand="0" w:firstRowFirstColumn="0" w:firstRowLastColumn="0" w:lastRowFirstColumn="0" w:lastRowLastColumn="0"/>
            <w:tcW w:w="1366" w:type="dxa"/>
          </w:tcPr>
          <w:p w14:paraId="070AE3AA" w14:textId="54445AB8" w:rsidR="00452B31" w:rsidRPr="00B87E1C" w:rsidRDefault="00982665" w:rsidP="00394886">
            <w:pPr>
              <w:spacing w:line="360" w:lineRule="auto"/>
              <w:jc w:val="both"/>
              <w:rPr>
                <w:sz w:val="20"/>
                <w:szCs w:val="20"/>
              </w:rPr>
            </w:pPr>
            <w:r w:rsidRPr="00B87E1C">
              <w:rPr>
                <w:sz w:val="20"/>
                <w:szCs w:val="20"/>
              </w:rPr>
              <w:t>PFBR</w:t>
            </w:r>
          </w:p>
        </w:tc>
        <w:tc>
          <w:tcPr>
            <w:tcW w:w="3029" w:type="dxa"/>
          </w:tcPr>
          <w:p w14:paraId="47CCB458" w14:textId="0E12F485" w:rsidR="00452B31" w:rsidRPr="00B87E1C" w:rsidRDefault="00982665"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Inde (Kalpakkam)</w:t>
            </w:r>
          </w:p>
        </w:tc>
        <w:tc>
          <w:tcPr>
            <w:tcW w:w="1275" w:type="dxa"/>
          </w:tcPr>
          <w:p w14:paraId="132F67AB" w14:textId="44ADA4C1" w:rsidR="00452B31" w:rsidRPr="00B87E1C" w:rsidRDefault="006C7DCD"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500</w:t>
            </w:r>
            <w:r w:rsidR="005732C0" w:rsidRPr="00B87E1C">
              <w:rPr>
                <w:sz w:val="20"/>
                <w:szCs w:val="20"/>
              </w:rPr>
              <w:t> M</w:t>
            </w:r>
            <w:r w:rsidR="00982665" w:rsidRPr="00B87E1C">
              <w:rPr>
                <w:sz w:val="20"/>
                <w:szCs w:val="20"/>
              </w:rPr>
              <w:t>We</w:t>
            </w:r>
          </w:p>
        </w:tc>
        <w:tc>
          <w:tcPr>
            <w:tcW w:w="1985" w:type="dxa"/>
          </w:tcPr>
          <w:p w14:paraId="1CA8BA7A" w14:textId="54485C1D" w:rsidR="00452B31" w:rsidRPr="00B87E1C" w:rsidRDefault="00982665" w:rsidP="00394886">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B87E1C">
              <w:rPr>
                <w:sz w:val="20"/>
                <w:szCs w:val="20"/>
              </w:rPr>
              <w:t>20</w:t>
            </w:r>
            <w:r w:rsidR="00DE0BCE" w:rsidRPr="00B87E1C">
              <w:rPr>
                <w:sz w:val="20"/>
                <w:szCs w:val="20"/>
              </w:rPr>
              <w:t>24</w:t>
            </w:r>
            <w:r w:rsidRPr="00B87E1C">
              <w:rPr>
                <w:sz w:val="20"/>
                <w:szCs w:val="20"/>
              </w:rPr>
              <w:t xml:space="preserve"> - </w:t>
            </w:r>
          </w:p>
        </w:tc>
      </w:tr>
    </w:tbl>
    <w:p w14:paraId="725BD729" w14:textId="2F29A0F4" w:rsidR="00987D1D" w:rsidRDefault="00987D1D" w:rsidP="00394886">
      <w:pPr>
        <w:spacing w:after="0" w:line="360" w:lineRule="auto"/>
        <w:jc w:val="both"/>
      </w:pPr>
    </w:p>
    <w:p w14:paraId="05CE56F9" w14:textId="77777777" w:rsidR="006E4131" w:rsidRDefault="006E4131" w:rsidP="00394886">
      <w:pPr>
        <w:spacing w:after="0" w:line="360" w:lineRule="auto"/>
        <w:jc w:val="both"/>
      </w:pPr>
    </w:p>
    <w:p w14:paraId="55603B91" w14:textId="41245616" w:rsidR="001F08DF" w:rsidRPr="00B87E1C" w:rsidRDefault="00B97954" w:rsidP="00BD0F3C">
      <w:pPr>
        <w:spacing w:after="0" w:line="360" w:lineRule="auto"/>
        <w:jc w:val="both"/>
        <w:rPr>
          <w:rFonts w:ascii="Times New Roman" w:hAnsi="Times New Roman" w:cs="Times New Roman"/>
        </w:rPr>
      </w:pPr>
      <w:r w:rsidRPr="00B87E1C">
        <w:rPr>
          <w:rFonts w:ascii="Times New Roman" w:hAnsi="Times New Roman" w:cs="Times New Roman"/>
        </w:rPr>
        <w:t xml:space="preserve">En 2010, </w:t>
      </w:r>
      <w:r w:rsidR="001B25A1" w:rsidRPr="00B87E1C">
        <w:rPr>
          <w:rFonts w:ascii="Times New Roman" w:hAnsi="Times New Roman" w:cs="Times New Roman"/>
        </w:rPr>
        <w:t xml:space="preserve">la </w:t>
      </w:r>
      <w:r w:rsidRPr="00B87E1C">
        <w:rPr>
          <w:rFonts w:ascii="Times New Roman" w:hAnsi="Times New Roman" w:cs="Times New Roman"/>
        </w:rPr>
        <w:t xml:space="preserve">France </w:t>
      </w:r>
      <w:r w:rsidR="005F5EEF" w:rsidRPr="00B87E1C">
        <w:rPr>
          <w:rFonts w:ascii="Times New Roman" w:hAnsi="Times New Roman" w:cs="Times New Roman"/>
        </w:rPr>
        <w:t xml:space="preserve">relance sa filière rapide avec le projet de recherche </w:t>
      </w:r>
      <w:r w:rsidR="00B87E1C" w:rsidRPr="00B87E1C">
        <w:rPr>
          <w:rFonts w:ascii="Times New Roman" w:hAnsi="Times New Roman" w:cs="Times New Roman"/>
        </w:rPr>
        <w:t>ASTRID</w:t>
      </w:r>
      <w:r w:rsidR="001B25A1" w:rsidRPr="00B87E1C">
        <w:rPr>
          <w:rFonts w:ascii="Times New Roman" w:hAnsi="Times New Roman" w:cs="Times New Roman"/>
        </w:rPr>
        <w:t xml:space="preserve"> </w:t>
      </w:r>
      <w:r w:rsidR="00BB59B7" w:rsidRPr="00B87E1C">
        <w:rPr>
          <w:rFonts w:ascii="Times New Roman" w:hAnsi="Times New Roman" w:cs="Times New Roman"/>
        </w:rPr>
        <w:t>(</w:t>
      </w:r>
      <w:r w:rsidR="001B25A1" w:rsidRPr="0022485E">
        <w:rPr>
          <w:rFonts w:ascii="Times New Roman" w:hAnsi="Times New Roman" w:cs="Times New Roman"/>
          <w:iCs/>
        </w:rPr>
        <w:t>Advanced Sodium Technological Reactor for Industrial Demonstration</w:t>
      </w:r>
      <w:r w:rsidR="005540E0" w:rsidRPr="00B87E1C">
        <w:rPr>
          <w:rFonts w:ascii="Times New Roman" w:hAnsi="Times New Roman" w:cs="Times New Roman"/>
        </w:rPr>
        <w:t>) visant à</w:t>
      </w:r>
      <w:r w:rsidR="005F5EEF" w:rsidRPr="00B87E1C">
        <w:rPr>
          <w:rFonts w:ascii="Times New Roman" w:hAnsi="Times New Roman" w:cs="Times New Roman"/>
        </w:rPr>
        <w:t xml:space="preserve"> mettre au point un </w:t>
      </w:r>
      <w:r w:rsidR="00BB59B7" w:rsidRPr="00B87E1C">
        <w:rPr>
          <w:rFonts w:ascii="Times New Roman" w:hAnsi="Times New Roman" w:cs="Times New Roman"/>
        </w:rPr>
        <w:t>RNR-Na de 4</w:t>
      </w:r>
      <w:r w:rsidR="00BB59B7" w:rsidRPr="00B87E1C">
        <w:rPr>
          <w:rFonts w:ascii="Times New Roman" w:hAnsi="Times New Roman" w:cs="Times New Roman"/>
          <w:vertAlign w:val="superscript"/>
        </w:rPr>
        <w:t>e</w:t>
      </w:r>
      <w:r w:rsidR="00B87E1C" w:rsidRPr="00B87E1C">
        <w:rPr>
          <w:rFonts w:ascii="Times New Roman" w:hAnsi="Times New Roman" w:cs="Times New Roman"/>
        </w:rPr>
        <w:t> </w:t>
      </w:r>
      <w:r w:rsidR="00BB59B7" w:rsidRPr="00B87E1C">
        <w:rPr>
          <w:rFonts w:ascii="Times New Roman" w:hAnsi="Times New Roman" w:cs="Times New Roman"/>
        </w:rPr>
        <w:t>génération de 600</w:t>
      </w:r>
      <w:r w:rsidR="005732C0" w:rsidRPr="00B87E1C">
        <w:rPr>
          <w:rFonts w:ascii="Times New Roman" w:hAnsi="Times New Roman" w:cs="Times New Roman"/>
        </w:rPr>
        <w:t> M</w:t>
      </w:r>
      <w:r w:rsidR="00BB59B7" w:rsidRPr="00B87E1C">
        <w:rPr>
          <w:rFonts w:ascii="Times New Roman" w:hAnsi="Times New Roman" w:cs="Times New Roman"/>
        </w:rPr>
        <w:t xml:space="preserve">We. </w:t>
      </w:r>
      <w:r w:rsidR="005F5EEF" w:rsidRPr="00B87E1C">
        <w:rPr>
          <w:rFonts w:ascii="Times New Roman" w:hAnsi="Times New Roman" w:cs="Times New Roman"/>
        </w:rPr>
        <w:t xml:space="preserve">Malheureusement, </w:t>
      </w:r>
      <w:r w:rsidR="00A713F8" w:rsidRPr="00B87E1C">
        <w:rPr>
          <w:rFonts w:ascii="Times New Roman" w:hAnsi="Times New Roman" w:cs="Times New Roman"/>
        </w:rPr>
        <w:t xml:space="preserve">à l’instar de </w:t>
      </w:r>
      <w:r w:rsidR="00BB59B7" w:rsidRPr="00B87E1C">
        <w:rPr>
          <w:rFonts w:ascii="Times New Roman" w:hAnsi="Times New Roman" w:cs="Times New Roman"/>
        </w:rPr>
        <w:t>Superphénix, A</w:t>
      </w:r>
      <w:r w:rsidR="00B87E1C" w:rsidRPr="00B87E1C">
        <w:rPr>
          <w:rFonts w:ascii="Times New Roman" w:hAnsi="Times New Roman" w:cs="Times New Roman"/>
        </w:rPr>
        <w:t>STRID</w:t>
      </w:r>
      <w:r w:rsidR="00BB59B7" w:rsidRPr="00B87E1C">
        <w:rPr>
          <w:rFonts w:ascii="Times New Roman" w:hAnsi="Times New Roman" w:cs="Times New Roman"/>
        </w:rPr>
        <w:t xml:space="preserve"> est </w:t>
      </w:r>
      <w:r w:rsidR="00CE64D4" w:rsidRPr="00B87E1C">
        <w:rPr>
          <w:rFonts w:ascii="Times New Roman" w:hAnsi="Times New Roman" w:cs="Times New Roman"/>
        </w:rPr>
        <w:t xml:space="preserve">arrêté </w:t>
      </w:r>
      <w:r w:rsidR="00A713F8" w:rsidRPr="00B87E1C">
        <w:rPr>
          <w:rFonts w:ascii="Times New Roman" w:hAnsi="Times New Roman" w:cs="Times New Roman"/>
        </w:rPr>
        <w:t>brutalement</w:t>
      </w:r>
      <w:r w:rsidR="00466555" w:rsidRPr="00B87E1C">
        <w:rPr>
          <w:rFonts w:ascii="Times New Roman" w:hAnsi="Times New Roman" w:cs="Times New Roman"/>
        </w:rPr>
        <w:t xml:space="preserve"> </w:t>
      </w:r>
      <w:r w:rsidR="00CE64D4" w:rsidRPr="00B87E1C">
        <w:rPr>
          <w:rFonts w:ascii="Times New Roman" w:hAnsi="Times New Roman" w:cs="Times New Roman"/>
        </w:rPr>
        <w:t>en 2018 pour des raisons politiques</w:t>
      </w:r>
      <w:r w:rsidR="00373E4F" w:rsidRPr="00B87E1C">
        <w:rPr>
          <w:rFonts w:ascii="Times New Roman" w:hAnsi="Times New Roman" w:cs="Times New Roman"/>
        </w:rPr>
        <w:t>, en dépit des évaluations positives et sans saisine des instances concernées (Parlement et Comité de l’énergie atomique)</w:t>
      </w:r>
      <w:r w:rsidR="00B87E1C">
        <w:rPr>
          <w:rFonts w:ascii="Times New Roman" w:hAnsi="Times New Roman" w:cs="Times New Roman"/>
        </w:rPr>
        <w:t>.</w:t>
      </w:r>
    </w:p>
    <w:p w14:paraId="62E29BFB" w14:textId="30105613" w:rsidR="00BD0F3C" w:rsidRPr="00B87E1C" w:rsidRDefault="00373E4F" w:rsidP="00BD0F3C">
      <w:pPr>
        <w:spacing w:after="0" w:line="360" w:lineRule="auto"/>
        <w:jc w:val="both"/>
        <w:rPr>
          <w:rFonts w:ascii="Times New Roman" w:hAnsi="Times New Roman" w:cs="Times New Roman"/>
          <w:bCs/>
        </w:rPr>
      </w:pPr>
      <w:r w:rsidRPr="00B87E1C">
        <w:rPr>
          <w:rFonts w:ascii="Times New Roman" w:hAnsi="Times New Roman" w:cs="Times New Roman"/>
          <w:bCs/>
        </w:rPr>
        <w:lastRenderedPageBreak/>
        <w:t xml:space="preserve">Force est de constater </w:t>
      </w:r>
      <w:r w:rsidR="005540E0" w:rsidRPr="00B87E1C">
        <w:rPr>
          <w:rFonts w:ascii="Times New Roman" w:hAnsi="Times New Roman" w:cs="Times New Roman"/>
          <w:bCs/>
        </w:rPr>
        <w:t xml:space="preserve">l’incompréhensible : </w:t>
      </w:r>
      <w:r w:rsidRPr="00B87E1C">
        <w:rPr>
          <w:rFonts w:ascii="Times New Roman" w:hAnsi="Times New Roman" w:cs="Times New Roman"/>
          <w:bCs/>
        </w:rPr>
        <w:t>a</w:t>
      </w:r>
      <w:r w:rsidR="00911FFD" w:rsidRPr="00B87E1C">
        <w:rPr>
          <w:rFonts w:ascii="Times New Roman" w:hAnsi="Times New Roman" w:cs="Times New Roman"/>
          <w:bCs/>
        </w:rPr>
        <w:t xml:space="preserve">près les succès </w:t>
      </w:r>
      <w:r w:rsidRPr="00B87E1C">
        <w:rPr>
          <w:rFonts w:ascii="Times New Roman" w:hAnsi="Times New Roman" w:cs="Times New Roman"/>
          <w:bCs/>
        </w:rPr>
        <w:t xml:space="preserve">indiscutables </w:t>
      </w:r>
      <w:r w:rsidR="00224E88" w:rsidRPr="00B87E1C">
        <w:rPr>
          <w:rFonts w:ascii="Times New Roman" w:hAnsi="Times New Roman" w:cs="Times New Roman"/>
          <w:bCs/>
        </w:rPr>
        <w:t xml:space="preserve">de sa filière à neutrons rapides (Rapsodie, Phénix, Superphénix), </w:t>
      </w:r>
      <w:r w:rsidR="00102B09" w:rsidRPr="00B87E1C">
        <w:rPr>
          <w:rFonts w:ascii="Times New Roman" w:hAnsi="Times New Roman" w:cs="Times New Roman"/>
          <w:bCs/>
        </w:rPr>
        <w:t xml:space="preserve">la France </w:t>
      </w:r>
      <w:r w:rsidR="00911FFD" w:rsidRPr="00B87E1C">
        <w:rPr>
          <w:rFonts w:ascii="Times New Roman" w:hAnsi="Times New Roman" w:cs="Times New Roman"/>
          <w:bCs/>
        </w:rPr>
        <w:t xml:space="preserve">n’a eu de cesse de </w:t>
      </w:r>
      <w:r w:rsidRPr="00B87E1C">
        <w:rPr>
          <w:rFonts w:ascii="Times New Roman" w:hAnsi="Times New Roman" w:cs="Times New Roman"/>
          <w:bCs/>
        </w:rPr>
        <w:t xml:space="preserve">condamner </w:t>
      </w:r>
      <w:r w:rsidR="00286126" w:rsidRPr="00B87E1C">
        <w:rPr>
          <w:rFonts w:ascii="Times New Roman" w:hAnsi="Times New Roman" w:cs="Times New Roman"/>
          <w:bCs/>
        </w:rPr>
        <w:t>la voie</w:t>
      </w:r>
      <w:r w:rsidRPr="00B87E1C">
        <w:rPr>
          <w:rFonts w:ascii="Times New Roman" w:hAnsi="Times New Roman" w:cs="Times New Roman"/>
          <w:bCs/>
        </w:rPr>
        <w:t xml:space="preserve"> du nucléaire dura</w:t>
      </w:r>
      <w:r w:rsidR="002F4D4D" w:rsidRPr="00B87E1C">
        <w:rPr>
          <w:rFonts w:ascii="Times New Roman" w:hAnsi="Times New Roman" w:cs="Times New Roman"/>
          <w:bCs/>
        </w:rPr>
        <w:t>ble</w:t>
      </w:r>
      <w:r w:rsidR="001F08DF" w:rsidRPr="00B87E1C">
        <w:rPr>
          <w:rFonts w:ascii="Times New Roman" w:hAnsi="Times New Roman" w:cs="Times New Roman"/>
          <w:bCs/>
        </w:rPr>
        <w:t xml:space="preserve"> qu’elle avait elle-même </w:t>
      </w:r>
      <w:r w:rsidR="00B87E1C">
        <w:rPr>
          <w:rFonts w:ascii="Times New Roman" w:hAnsi="Times New Roman" w:cs="Times New Roman"/>
          <w:bCs/>
        </w:rPr>
        <w:t>lancée</w:t>
      </w:r>
      <w:r w:rsidR="00BD0F3C" w:rsidRPr="00B87E1C">
        <w:rPr>
          <w:rFonts w:ascii="Times New Roman" w:hAnsi="Times New Roman" w:cs="Times New Roman"/>
          <w:bCs/>
        </w:rPr>
        <w:t>, au moment même où de nouveaux RNR de puissance sont en construction en Russie, en Chine, en Inde, au Japon…</w:t>
      </w:r>
    </w:p>
    <w:p w14:paraId="16B9EB87" w14:textId="77777777" w:rsidR="008E7CC9" w:rsidRPr="00B87E1C" w:rsidRDefault="008E7CC9" w:rsidP="00394886">
      <w:pPr>
        <w:spacing w:after="0" w:line="360" w:lineRule="auto"/>
        <w:jc w:val="both"/>
        <w:rPr>
          <w:rFonts w:ascii="Times New Roman" w:hAnsi="Times New Roman" w:cs="Times New Roman"/>
          <w:bCs/>
        </w:rPr>
      </w:pPr>
    </w:p>
    <w:p w14:paraId="2E5A8773" w14:textId="209CD3AE" w:rsidR="00B76173" w:rsidRPr="00B87E1C" w:rsidRDefault="00B87E1C" w:rsidP="00394886">
      <w:pPr>
        <w:spacing w:after="0" w:line="360" w:lineRule="auto"/>
        <w:jc w:val="both"/>
        <w:rPr>
          <w:rFonts w:ascii="Times New Roman" w:hAnsi="Times New Roman" w:cs="Times New Roman"/>
          <w:b/>
          <w:bCs/>
        </w:rPr>
      </w:pPr>
      <w:r w:rsidRPr="00B87E1C">
        <w:rPr>
          <w:rFonts w:ascii="Times New Roman" w:hAnsi="Times New Roman" w:cs="Times New Roman"/>
          <w:b/>
          <w:bCs/>
        </w:rPr>
        <w:t xml:space="preserve">CONCLUSIONS </w:t>
      </w:r>
    </w:p>
    <w:p w14:paraId="5608087E" w14:textId="37BBF2B9" w:rsidR="009A39D5" w:rsidRPr="00B87E1C" w:rsidRDefault="009A39D5" w:rsidP="00394886">
      <w:pPr>
        <w:spacing w:after="0" w:line="360" w:lineRule="auto"/>
        <w:jc w:val="both"/>
        <w:rPr>
          <w:rFonts w:ascii="Times New Roman" w:hAnsi="Times New Roman" w:cs="Times New Roman"/>
        </w:rPr>
      </w:pPr>
      <w:r w:rsidRPr="00B87E1C">
        <w:rPr>
          <w:rFonts w:ascii="Times New Roman" w:hAnsi="Times New Roman" w:cs="Times New Roman"/>
        </w:rPr>
        <w:t xml:space="preserve">Face au réchauffement climatique </w:t>
      </w:r>
      <w:r w:rsidR="002F4D4D" w:rsidRPr="00B87E1C">
        <w:rPr>
          <w:rFonts w:ascii="Times New Roman" w:hAnsi="Times New Roman" w:cs="Times New Roman"/>
        </w:rPr>
        <w:t xml:space="preserve">qui nous impose </w:t>
      </w:r>
      <w:r w:rsidR="006403B4" w:rsidRPr="00B87E1C">
        <w:rPr>
          <w:rFonts w:ascii="Times New Roman" w:hAnsi="Times New Roman" w:cs="Times New Roman"/>
        </w:rPr>
        <w:t xml:space="preserve">l’arrêt </w:t>
      </w:r>
      <w:r w:rsidRPr="00B87E1C">
        <w:rPr>
          <w:rFonts w:ascii="Times New Roman" w:hAnsi="Times New Roman" w:cs="Times New Roman"/>
        </w:rPr>
        <w:t xml:space="preserve">définitif </w:t>
      </w:r>
      <w:r w:rsidR="00B87E1C" w:rsidRPr="00B87E1C">
        <w:rPr>
          <w:rFonts w:ascii="Times New Roman" w:hAnsi="Times New Roman" w:cs="Times New Roman"/>
        </w:rPr>
        <w:t>du recours à toutes les</w:t>
      </w:r>
      <w:r w:rsidRPr="00B87E1C">
        <w:rPr>
          <w:rFonts w:ascii="Times New Roman" w:hAnsi="Times New Roman" w:cs="Times New Roman"/>
        </w:rPr>
        <w:t xml:space="preserve"> énergies fossiles, </w:t>
      </w:r>
      <w:r w:rsidRPr="00481AD5">
        <w:rPr>
          <w:rFonts w:ascii="Times New Roman" w:hAnsi="Times New Roman" w:cs="Times New Roman"/>
          <w:color w:val="0070C0"/>
        </w:rPr>
        <w:t xml:space="preserve">le nucléaire durable n’est pas une option parmi d’autres, </w:t>
      </w:r>
      <w:r w:rsidR="00B87E1C" w:rsidRPr="00481AD5">
        <w:rPr>
          <w:rFonts w:ascii="Times New Roman" w:hAnsi="Times New Roman" w:cs="Times New Roman"/>
          <w:color w:val="0070C0"/>
        </w:rPr>
        <w:t>ni u</w:t>
      </w:r>
      <w:r w:rsidRPr="00481AD5">
        <w:rPr>
          <w:rFonts w:ascii="Times New Roman" w:hAnsi="Times New Roman" w:cs="Times New Roman"/>
          <w:color w:val="0070C0"/>
        </w:rPr>
        <w:t xml:space="preserve">n complément ou </w:t>
      </w:r>
      <w:r w:rsidR="00B87E1C" w:rsidRPr="00481AD5">
        <w:rPr>
          <w:rFonts w:ascii="Times New Roman" w:hAnsi="Times New Roman" w:cs="Times New Roman"/>
          <w:color w:val="0070C0"/>
        </w:rPr>
        <w:t>u</w:t>
      </w:r>
      <w:r w:rsidRPr="00481AD5">
        <w:rPr>
          <w:rFonts w:ascii="Times New Roman" w:hAnsi="Times New Roman" w:cs="Times New Roman"/>
          <w:color w:val="0070C0"/>
        </w:rPr>
        <w:t xml:space="preserve">n supplément </w:t>
      </w:r>
      <w:r w:rsidR="00B87E1C" w:rsidRPr="00481AD5">
        <w:rPr>
          <w:rFonts w:ascii="Times New Roman" w:hAnsi="Times New Roman" w:cs="Times New Roman"/>
          <w:color w:val="0070C0"/>
        </w:rPr>
        <w:t xml:space="preserve">aux </w:t>
      </w:r>
      <w:r w:rsidRPr="00481AD5">
        <w:rPr>
          <w:rFonts w:ascii="Times New Roman" w:hAnsi="Times New Roman" w:cs="Times New Roman"/>
          <w:color w:val="0070C0"/>
        </w:rPr>
        <w:t xml:space="preserve">autres </w:t>
      </w:r>
      <w:r w:rsidR="008E7CC9" w:rsidRPr="00481AD5">
        <w:rPr>
          <w:rFonts w:ascii="Times New Roman" w:hAnsi="Times New Roman" w:cs="Times New Roman"/>
          <w:color w:val="0070C0"/>
        </w:rPr>
        <w:t xml:space="preserve">solutions </w:t>
      </w:r>
      <w:r w:rsidRPr="00481AD5">
        <w:rPr>
          <w:rFonts w:ascii="Times New Roman" w:hAnsi="Times New Roman" w:cs="Times New Roman"/>
          <w:color w:val="0070C0"/>
        </w:rPr>
        <w:t>comme certains voudraient le faire accroire</w:t>
      </w:r>
      <w:r w:rsidR="008E7CC9" w:rsidRPr="00481AD5">
        <w:rPr>
          <w:rFonts w:ascii="Times New Roman" w:hAnsi="Times New Roman" w:cs="Times New Roman"/>
          <w:color w:val="0070C0"/>
        </w:rPr>
        <w:t> : en réalité,</w:t>
      </w:r>
      <w:r w:rsidRPr="00481AD5">
        <w:rPr>
          <w:rFonts w:ascii="Times New Roman" w:hAnsi="Times New Roman" w:cs="Times New Roman"/>
          <w:color w:val="0070C0"/>
        </w:rPr>
        <w:t xml:space="preserve"> </w:t>
      </w:r>
      <w:r w:rsidR="00BE56C7" w:rsidRPr="00481AD5">
        <w:rPr>
          <w:rFonts w:ascii="Times New Roman" w:hAnsi="Times New Roman" w:cs="Times New Roman"/>
          <w:color w:val="0070C0"/>
        </w:rPr>
        <w:t>avec l’hydro</w:t>
      </w:r>
      <w:r w:rsidR="00275FF4" w:rsidRPr="00481AD5">
        <w:rPr>
          <w:rFonts w:ascii="Times New Roman" w:hAnsi="Times New Roman" w:cs="Times New Roman"/>
          <w:color w:val="0070C0"/>
        </w:rPr>
        <w:t>électricité</w:t>
      </w:r>
      <w:r w:rsidR="00B87E1C" w:rsidRPr="00481AD5">
        <w:rPr>
          <w:rFonts w:ascii="Times New Roman" w:hAnsi="Times New Roman" w:cs="Times New Roman"/>
          <w:color w:val="0070C0"/>
        </w:rPr>
        <w:t>,</w:t>
      </w:r>
      <w:r w:rsidR="00275FF4" w:rsidRPr="00481AD5">
        <w:rPr>
          <w:rFonts w:ascii="Times New Roman" w:hAnsi="Times New Roman" w:cs="Times New Roman"/>
          <w:color w:val="0070C0"/>
        </w:rPr>
        <w:t xml:space="preserve"> </w:t>
      </w:r>
      <w:r w:rsidR="00B87E1C" w:rsidRPr="00481AD5">
        <w:rPr>
          <w:rFonts w:ascii="Times New Roman" w:hAnsi="Times New Roman" w:cs="Times New Roman"/>
          <w:color w:val="0070C0"/>
        </w:rPr>
        <w:t>c’est la seule option valable.</w:t>
      </w:r>
    </w:p>
    <w:p w14:paraId="1AC2F14F" w14:textId="41D3A6D4" w:rsidR="00782531" w:rsidRPr="00B87E1C" w:rsidRDefault="008C6567" w:rsidP="00394886">
      <w:pPr>
        <w:spacing w:after="0" w:line="360" w:lineRule="auto"/>
        <w:jc w:val="both"/>
        <w:rPr>
          <w:rFonts w:ascii="Times New Roman" w:hAnsi="Times New Roman" w:cs="Times New Roman"/>
        </w:rPr>
      </w:pPr>
      <w:r w:rsidRPr="00B87E1C">
        <w:rPr>
          <w:rFonts w:ascii="Times New Roman" w:hAnsi="Times New Roman" w:cs="Times New Roman"/>
        </w:rPr>
        <w:t xml:space="preserve">Manifestement rien de tout cela n’est actuellement compris </w:t>
      </w:r>
      <w:r w:rsidR="00275FF4" w:rsidRPr="00B87E1C">
        <w:rPr>
          <w:rFonts w:ascii="Times New Roman" w:hAnsi="Times New Roman" w:cs="Times New Roman"/>
        </w:rPr>
        <w:t>par</w:t>
      </w:r>
      <w:r w:rsidRPr="00B87E1C">
        <w:rPr>
          <w:rFonts w:ascii="Times New Roman" w:hAnsi="Times New Roman" w:cs="Times New Roman"/>
        </w:rPr>
        <w:t xml:space="preserve"> les instances dirigeantes de l’</w:t>
      </w:r>
      <w:r w:rsidR="005732C0" w:rsidRPr="00B87E1C">
        <w:rPr>
          <w:rFonts w:ascii="Times New Roman" w:hAnsi="Times New Roman" w:cs="Times New Roman"/>
        </w:rPr>
        <w:t>État</w:t>
      </w:r>
      <w:r w:rsidRPr="00B87E1C">
        <w:rPr>
          <w:rFonts w:ascii="Times New Roman" w:hAnsi="Times New Roman" w:cs="Times New Roman"/>
        </w:rPr>
        <w:t> : l</w:t>
      </w:r>
      <w:r w:rsidR="004D6C8C" w:rsidRPr="00B87E1C">
        <w:rPr>
          <w:rFonts w:ascii="Times New Roman" w:hAnsi="Times New Roman" w:cs="Times New Roman"/>
        </w:rPr>
        <w:t xml:space="preserve">’absence de </w:t>
      </w:r>
      <w:r w:rsidR="00907DEC" w:rsidRPr="00B87E1C">
        <w:rPr>
          <w:rFonts w:ascii="Times New Roman" w:hAnsi="Times New Roman" w:cs="Times New Roman"/>
        </w:rPr>
        <w:t xml:space="preserve">toute </w:t>
      </w:r>
      <w:r w:rsidR="004D6C8C" w:rsidRPr="00B87E1C">
        <w:rPr>
          <w:rFonts w:ascii="Times New Roman" w:hAnsi="Times New Roman" w:cs="Times New Roman"/>
        </w:rPr>
        <w:t xml:space="preserve">vision </w:t>
      </w:r>
      <w:r w:rsidR="00C913A2" w:rsidRPr="00B87E1C">
        <w:rPr>
          <w:rFonts w:ascii="Times New Roman" w:hAnsi="Times New Roman" w:cs="Times New Roman"/>
        </w:rPr>
        <w:t>stratégique pour le nucléaire</w:t>
      </w:r>
      <w:r w:rsidR="00907DEC" w:rsidRPr="00B87E1C">
        <w:rPr>
          <w:rFonts w:ascii="Times New Roman" w:hAnsi="Times New Roman" w:cs="Times New Roman"/>
        </w:rPr>
        <w:t xml:space="preserve"> dans </w:t>
      </w:r>
      <w:r w:rsidR="00075143">
        <w:rPr>
          <w:rFonts w:ascii="Times New Roman" w:hAnsi="Times New Roman" w:cs="Times New Roman"/>
        </w:rPr>
        <w:t>le projet de</w:t>
      </w:r>
      <w:r w:rsidR="002177F3">
        <w:rPr>
          <w:rFonts w:ascii="Times New Roman" w:hAnsi="Times New Roman" w:cs="Times New Roman"/>
        </w:rPr>
        <w:t xml:space="preserve"> </w:t>
      </w:r>
      <w:r w:rsidR="002177F3" w:rsidRPr="00075143">
        <w:rPr>
          <w:rFonts w:ascii="Times New Roman" w:hAnsi="Times New Roman" w:cs="Times New Roman"/>
        </w:rPr>
        <w:t>programmation pluriannuelle</w:t>
      </w:r>
      <w:r w:rsidR="00907DEC" w:rsidRPr="00B87E1C">
        <w:rPr>
          <w:rFonts w:ascii="Times New Roman" w:hAnsi="Times New Roman" w:cs="Times New Roman"/>
        </w:rPr>
        <w:t xml:space="preserve"> </w:t>
      </w:r>
      <w:r w:rsidR="002177F3">
        <w:rPr>
          <w:rFonts w:ascii="Times New Roman" w:hAnsi="Times New Roman" w:cs="Times New Roman"/>
        </w:rPr>
        <w:t xml:space="preserve">de l’énergie </w:t>
      </w:r>
      <w:r w:rsidR="00907DEC" w:rsidRPr="00B87E1C">
        <w:rPr>
          <w:rFonts w:ascii="Times New Roman" w:hAnsi="Times New Roman" w:cs="Times New Roman"/>
        </w:rPr>
        <w:t xml:space="preserve">est sidérante. </w:t>
      </w:r>
      <w:r w:rsidR="00CB70AE" w:rsidRPr="00B87E1C">
        <w:rPr>
          <w:rFonts w:ascii="Times New Roman" w:hAnsi="Times New Roman" w:cs="Times New Roman"/>
        </w:rPr>
        <w:t xml:space="preserve">Alors qu’un </w:t>
      </w:r>
      <w:r w:rsidR="003D6BDA" w:rsidRPr="00B87E1C">
        <w:rPr>
          <w:rFonts w:ascii="Times New Roman" w:hAnsi="Times New Roman" w:cs="Times New Roman"/>
        </w:rPr>
        <w:t xml:space="preserve">choc d’uranium </w:t>
      </w:r>
      <w:r w:rsidR="00CB70AE" w:rsidRPr="00B87E1C">
        <w:rPr>
          <w:rFonts w:ascii="Times New Roman" w:hAnsi="Times New Roman" w:cs="Times New Roman"/>
        </w:rPr>
        <w:t>se profile pour le</w:t>
      </w:r>
      <w:r w:rsidR="00964391" w:rsidRPr="00B87E1C">
        <w:rPr>
          <w:rFonts w:ascii="Times New Roman" w:hAnsi="Times New Roman" w:cs="Times New Roman"/>
        </w:rPr>
        <w:t xml:space="preserve"> milieu du siècle</w:t>
      </w:r>
      <w:r w:rsidR="0080342F" w:rsidRPr="00B87E1C">
        <w:rPr>
          <w:rFonts w:ascii="Times New Roman" w:hAnsi="Times New Roman" w:cs="Times New Roman"/>
        </w:rPr>
        <w:t xml:space="preserve">, la question de la ressource n’est pas même évoquée, aucun projet de RNR de </w:t>
      </w:r>
      <w:r w:rsidR="00476365" w:rsidRPr="00B87E1C">
        <w:rPr>
          <w:rFonts w:ascii="Times New Roman" w:hAnsi="Times New Roman" w:cs="Times New Roman"/>
        </w:rPr>
        <w:t>puissance</w:t>
      </w:r>
      <w:r w:rsidR="0080342F" w:rsidRPr="00B87E1C">
        <w:rPr>
          <w:rFonts w:ascii="Times New Roman" w:hAnsi="Times New Roman" w:cs="Times New Roman"/>
        </w:rPr>
        <w:t xml:space="preserve"> n’est remis sur les rails</w:t>
      </w:r>
      <w:r w:rsidR="00143A17" w:rsidRPr="00B87E1C">
        <w:rPr>
          <w:rFonts w:ascii="Times New Roman" w:hAnsi="Times New Roman" w:cs="Times New Roman"/>
        </w:rPr>
        <w:t xml:space="preserve">, aucune </w:t>
      </w:r>
      <w:r w:rsidR="00E33610" w:rsidRPr="00B87E1C">
        <w:rPr>
          <w:rFonts w:ascii="Times New Roman" w:hAnsi="Times New Roman" w:cs="Times New Roman"/>
        </w:rPr>
        <w:t xml:space="preserve">ambition </w:t>
      </w:r>
      <w:r w:rsidR="0093396C" w:rsidRPr="00B87E1C">
        <w:rPr>
          <w:rFonts w:ascii="Times New Roman" w:hAnsi="Times New Roman" w:cs="Times New Roman"/>
        </w:rPr>
        <w:t xml:space="preserve">nucléaire </w:t>
      </w:r>
      <w:r w:rsidR="00E33610" w:rsidRPr="00B87E1C">
        <w:rPr>
          <w:rFonts w:ascii="Times New Roman" w:hAnsi="Times New Roman" w:cs="Times New Roman"/>
        </w:rPr>
        <w:t>n’émerge pour la place de la France dans un monde qui se disloque de crise en crise</w:t>
      </w:r>
      <w:r w:rsidR="0080342F" w:rsidRPr="00B87E1C">
        <w:rPr>
          <w:rFonts w:ascii="Times New Roman" w:hAnsi="Times New Roman" w:cs="Times New Roman"/>
        </w:rPr>
        <w:t xml:space="preserve">. Sans </w:t>
      </w:r>
      <w:r w:rsidR="00EB48E7" w:rsidRPr="00B87E1C">
        <w:rPr>
          <w:rFonts w:ascii="Times New Roman" w:hAnsi="Times New Roman" w:cs="Times New Roman"/>
        </w:rPr>
        <w:t xml:space="preserve">aucune </w:t>
      </w:r>
      <w:r w:rsidR="0080342F" w:rsidRPr="00B87E1C">
        <w:rPr>
          <w:rFonts w:ascii="Times New Roman" w:hAnsi="Times New Roman" w:cs="Times New Roman"/>
        </w:rPr>
        <w:t>perspective</w:t>
      </w:r>
      <w:r w:rsidR="00BE374A" w:rsidRPr="00B87E1C">
        <w:rPr>
          <w:rFonts w:ascii="Times New Roman" w:hAnsi="Times New Roman" w:cs="Times New Roman"/>
        </w:rPr>
        <w:t>, les discours de relance du nucléaire sur la base de quelques EPR sont</w:t>
      </w:r>
      <w:r w:rsidR="009815E9" w:rsidRPr="00B87E1C">
        <w:rPr>
          <w:rFonts w:ascii="Times New Roman" w:hAnsi="Times New Roman" w:cs="Times New Roman"/>
        </w:rPr>
        <w:t>,</w:t>
      </w:r>
      <w:r w:rsidR="00BE374A" w:rsidRPr="00B87E1C">
        <w:rPr>
          <w:rFonts w:ascii="Times New Roman" w:hAnsi="Times New Roman" w:cs="Times New Roman"/>
        </w:rPr>
        <w:t xml:space="preserve"> </w:t>
      </w:r>
      <w:r w:rsidR="009815E9" w:rsidRPr="00B87E1C">
        <w:rPr>
          <w:rFonts w:ascii="Times New Roman" w:hAnsi="Times New Roman" w:cs="Times New Roman"/>
        </w:rPr>
        <w:t xml:space="preserve">à eux seuls, </w:t>
      </w:r>
      <w:r w:rsidR="00BE374A" w:rsidRPr="00B87E1C">
        <w:rPr>
          <w:rFonts w:ascii="Times New Roman" w:hAnsi="Times New Roman" w:cs="Times New Roman"/>
        </w:rPr>
        <w:t xml:space="preserve">une démonstration </w:t>
      </w:r>
      <w:r w:rsidR="00782531" w:rsidRPr="00B87E1C">
        <w:rPr>
          <w:rFonts w:ascii="Times New Roman" w:hAnsi="Times New Roman" w:cs="Times New Roman"/>
        </w:rPr>
        <w:t>de l’impasse stratégique dans laquelle nous sommes.</w:t>
      </w:r>
    </w:p>
    <w:p w14:paraId="7029C7D0" w14:textId="4DA1CA93" w:rsidR="009D4C51" w:rsidRPr="00B87E1C" w:rsidRDefault="00782531" w:rsidP="00394886">
      <w:pPr>
        <w:spacing w:after="0" w:line="360" w:lineRule="auto"/>
        <w:jc w:val="both"/>
        <w:rPr>
          <w:rFonts w:ascii="Times New Roman" w:hAnsi="Times New Roman" w:cs="Times New Roman"/>
        </w:rPr>
      </w:pPr>
      <w:r w:rsidRPr="00B87E1C">
        <w:rPr>
          <w:rFonts w:ascii="Times New Roman" w:hAnsi="Times New Roman" w:cs="Times New Roman"/>
        </w:rPr>
        <w:t>De fait</w:t>
      </w:r>
      <w:r w:rsidR="00B76173" w:rsidRPr="00B87E1C">
        <w:rPr>
          <w:rFonts w:ascii="Times New Roman" w:hAnsi="Times New Roman" w:cs="Times New Roman"/>
        </w:rPr>
        <w:t>,</w:t>
      </w:r>
      <w:r w:rsidR="00310AA2" w:rsidRPr="00B87E1C">
        <w:rPr>
          <w:rFonts w:ascii="Times New Roman" w:hAnsi="Times New Roman" w:cs="Times New Roman"/>
        </w:rPr>
        <w:t xml:space="preserve"> </w:t>
      </w:r>
      <w:r w:rsidR="00476BCD" w:rsidRPr="00B87E1C">
        <w:rPr>
          <w:rFonts w:ascii="Times New Roman" w:hAnsi="Times New Roman" w:cs="Times New Roman"/>
        </w:rPr>
        <w:t>sous</w:t>
      </w:r>
      <w:r w:rsidR="00FC53DC" w:rsidRPr="00B87E1C">
        <w:rPr>
          <w:rFonts w:ascii="Times New Roman" w:hAnsi="Times New Roman" w:cs="Times New Roman"/>
        </w:rPr>
        <w:t xml:space="preserve"> l</w:t>
      </w:r>
      <w:r w:rsidR="00812B14" w:rsidRPr="00B87E1C">
        <w:rPr>
          <w:rFonts w:ascii="Times New Roman" w:hAnsi="Times New Roman" w:cs="Times New Roman"/>
        </w:rPr>
        <w:t xml:space="preserve">a force </w:t>
      </w:r>
      <w:r w:rsidR="00FC53DC" w:rsidRPr="00B87E1C">
        <w:rPr>
          <w:rFonts w:ascii="Times New Roman" w:hAnsi="Times New Roman" w:cs="Times New Roman"/>
        </w:rPr>
        <w:t xml:space="preserve">de l’idéologie, </w:t>
      </w:r>
      <w:r w:rsidR="00E5409A" w:rsidRPr="00B87E1C">
        <w:rPr>
          <w:rFonts w:ascii="Times New Roman" w:hAnsi="Times New Roman" w:cs="Times New Roman"/>
        </w:rPr>
        <w:t>pris en otage par l</w:t>
      </w:r>
      <w:r w:rsidRPr="00B87E1C">
        <w:rPr>
          <w:rFonts w:ascii="Times New Roman" w:hAnsi="Times New Roman" w:cs="Times New Roman"/>
        </w:rPr>
        <w:t>’</w:t>
      </w:r>
      <w:r w:rsidR="00B76173" w:rsidRPr="00B87E1C">
        <w:rPr>
          <w:rFonts w:ascii="Times New Roman" w:hAnsi="Times New Roman" w:cs="Times New Roman"/>
        </w:rPr>
        <w:t>irresponsabilité</w:t>
      </w:r>
      <w:r w:rsidR="00310AA2" w:rsidRPr="00B87E1C">
        <w:rPr>
          <w:rFonts w:ascii="Times New Roman" w:hAnsi="Times New Roman" w:cs="Times New Roman"/>
        </w:rPr>
        <w:t xml:space="preserve">, l’apathie et </w:t>
      </w:r>
      <w:r w:rsidR="00E5409A" w:rsidRPr="00B87E1C">
        <w:rPr>
          <w:rFonts w:ascii="Times New Roman" w:hAnsi="Times New Roman" w:cs="Times New Roman"/>
        </w:rPr>
        <w:t>l</w:t>
      </w:r>
      <w:r w:rsidRPr="00B87E1C">
        <w:rPr>
          <w:rFonts w:ascii="Times New Roman" w:hAnsi="Times New Roman" w:cs="Times New Roman"/>
        </w:rPr>
        <w:t>’</w:t>
      </w:r>
      <w:r w:rsidR="0083758A" w:rsidRPr="00B87E1C">
        <w:rPr>
          <w:rFonts w:ascii="Times New Roman" w:hAnsi="Times New Roman" w:cs="Times New Roman"/>
        </w:rPr>
        <w:t>incompétence</w:t>
      </w:r>
      <w:r w:rsidRPr="00B87E1C">
        <w:rPr>
          <w:rFonts w:ascii="Times New Roman" w:hAnsi="Times New Roman" w:cs="Times New Roman"/>
        </w:rPr>
        <w:t xml:space="preserve"> de multiples niveaux</w:t>
      </w:r>
      <w:r w:rsidR="00476365" w:rsidRPr="00B87E1C">
        <w:rPr>
          <w:rFonts w:ascii="Times New Roman" w:hAnsi="Times New Roman" w:cs="Times New Roman"/>
        </w:rPr>
        <w:t xml:space="preserve"> politiques et adminis</w:t>
      </w:r>
      <w:r w:rsidR="004B1F4E" w:rsidRPr="00B87E1C">
        <w:rPr>
          <w:rFonts w:ascii="Times New Roman" w:hAnsi="Times New Roman" w:cs="Times New Roman"/>
        </w:rPr>
        <w:t>trati</w:t>
      </w:r>
      <w:r w:rsidR="00836261" w:rsidRPr="00B87E1C">
        <w:rPr>
          <w:rFonts w:ascii="Times New Roman" w:hAnsi="Times New Roman" w:cs="Times New Roman"/>
        </w:rPr>
        <w:t>f</w:t>
      </w:r>
      <w:r w:rsidR="004B1F4E" w:rsidRPr="00B87E1C">
        <w:rPr>
          <w:rFonts w:ascii="Times New Roman" w:hAnsi="Times New Roman" w:cs="Times New Roman"/>
        </w:rPr>
        <w:t>s</w:t>
      </w:r>
      <w:r w:rsidR="0083758A" w:rsidRPr="00B87E1C">
        <w:rPr>
          <w:rFonts w:ascii="Times New Roman" w:hAnsi="Times New Roman" w:cs="Times New Roman"/>
        </w:rPr>
        <w:t xml:space="preserve">, </w:t>
      </w:r>
      <w:r w:rsidR="00B76173" w:rsidRPr="00B87E1C">
        <w:rPr>
          <w:rFonts w:ascii="Times New Roman" w:hAnsi="Times New Roman" w:cs="Times New Roman"/>
        </w:rPr>
        <w:t>le nucléaire en France n’est plus piloté</w:t>
      </w:r>
      <w:r w:rsidRPr="00B87E1C">
        <w:rPr>
          <w:rFonts w:ascii="Times New Roman" w:hAnsi="Times New Roman" w:cs="Times New Roman"/>
        </w:rPr>
        <w:t xml:space="preserve">. </w:t>
      </w:r>
      <w:r w:rsidR="00EF1F70" w:rsidRPr="00B87E1C">
        <w:rPr>
          <w:rFonts w:ascii="Times New Roman" w:hAnsi="Times New Roman" w:cs="Times New Roman"/>
        </w:rPr>
        <w:t>Comme s</w:t>
      </w:r>
      <w:r w:rsidR="00691398" w:rsidRPr="00B87E1C">
        <w:rPr>
          <w:rFonts w:ascii="Times New Roman" w:hAnsi="Times New Roman" w:cs="Times New Roman"/>
        </w:rPr>
        <w:t>ymptôme</w:t>
      </w:r>
      <w:r w:rsidR="004B1F4E" w:rsidRPr="00B87E1C">
        <w:rPr>
          <w:rFonts w:ascii="Times New Roman" w:hAnsi="Times New Roman" w:cs="Times New Roman"/>
        </w:rPr>
        <w:t xml:space="preserve"> caricatural</w:t>
      </w:r>
      <w:r w:rsidRPr="00B87E1C">
        <w:rPr>
          <w:rFonts w:ascii="Times New Roman" w:hAnsi="Times New Roman" w:cs="Times New Roman"/>
        </w:rPr>
        <w:t xml:space="preserve"> </w:t>
      </w:r>
      <w:r w:rsidR="00BE73CD" w:rsidRPr="00B87E1C">
        <w:rPr>
          <w:rFonts w:ascii="Times New Roman" w:hAnsi="Times New Roman" w:cs="Times New Roman"/>
        </w:rPr>
        <w:t xml:space="preserve">de cet effondrement, </w:t>
      </w:r>
      <w:r w:rsidR="00EF1F70" w:rsidRPr="00B87E1C">
        <w:rPr>
          <w:rFonts w:ascii="Times New Roman" w:hAnsi="Times New Roman" w:cs="Times New Roman"/>
        </w:rPr>
        <w:t xml:space="preserve">il suffit de </w:t>
      </w:r>
      <w:r w:rsidR="00E92083" w:rsidRPr="00B87E1C">
        <w:rPr>
          <w:rFonts w:ascii="Times New Roman" w:hAnsi="Times New Roman" w:cs="Times New Roman"/>
        </w:rPr>
        <w:t>citer</w:t>
      </w:r>
      <w:r w:rsidR="00EF1F70" w:rsidRPr="00B87E1C">
        <w:rPr>
          <w:rFonts w:ascii="Times New Roman" w:hAnsi="Times New Roman" w:cs="Times New Roman"/>
        </w:rPr>
        <w:t xml:space="preserve"> </w:t>
      </w:r>
      <w:r w:rsidR="00BE73CD" w:rsidRPr="00B87E1C">
        <w:rPr>
          <w:rFonts w:ascii="Times New Roman" w:hAnsi="Times New Roman" w:cs="Times New Roman"/>
        </w:rPr>
        <w:t xml:space="preserve">le programme de </w:t>
      </w:r>
      <w:r w:rsidR="0083758A" w:rsidRPr="00B87E1C">
        <w:rPr>
          <w:rFonts w:ascii="Times New Roman" w:hAnsi="Times New Roman" w:cs="Times New Roman"/>
        </w:rPr>
        <w:t xml:space="preserve">R&amp;D </w:t>
      </w:r>
      <w:r w:rsidR="00691398" w:rsidRPr="00B87E1C">
        <w:rPr>
          <w:rFonts w:ascii="Times New Roman" w:hAnsi="Times New Roman" w:cs="Times New Roman"/>
        </w:rPr>
        <w:t>piloté par le CEA</w:t>
      </w:r>
      <w:r w:rsidR="000C64D7" w:rsidRPr="00B87E1C">
        <w:rPr>
          <w:rFonts w:ascii="Times New Roman" w:hAnsi="Times New Roman" w:cs="Times New Roman"/>
        </w:rPr>
        <w:t xml:space="preserve"> </w:t>
      </w:r>
      <w:r w:rsidR="00EF1F70" w:rsidRPr="00B87E1C">
        <w:rPr>
          <w:rFonts w:ascii="Times New Roman" w:hAnsi="Times New Roman" w:cs="Times New Roman"/>
        </w:rPr>
        <w:t xml:space="preserve">axé sur </w:t>
      </w:r>
      <w:r w:rsidR="00691398" w:rsidRPr="00B87E1C">
        <w:rPr>
          <w:rFonts w:ascii="Times New Roman" w:hAnsi="Times New Roman" w:cs="Times New Roman"/>
        </w:rPr>
        <w:t xml:space="preserve">le </w:t>
      </w:r>
      <w:r w:rsidR="0083758A" w:rsidRPr="00B87E1C">
        <w:rPr>
          <w:rFonts w:ascii="Times New Roman" w:hAnsi="Times New Roman" w:cs="Times New Roman"/>
        </w:rPr>
        <w:t>multirecyclage en REP qui envoie le plutonium, matière fissile stratégique</w:t>
      </w:r>
      <w:r w:rsidR="00B15820" w:rsidRPr="00B87E1C">
        <w:rPr>
          <w:rFonts w:ascii="Times New Roman" w:hAnsi="Times New Roman" w:cs="Times New Roman"/>
        </w:rPr>
        <w:t xml:space="preserve"> s’il en est</w:t>
      </w:r>
      <w:r w:rsidR="0083758A" w:rsidRPr="00B87E1C">
        <w:rPr>
          <w:rFonts w:ascii="Times New Roman" w:hAnsi="Times New Roman" w:cs="Times New Roman"/>
        </w:rPr>
        <w:t>, aux déchets</w:t>
      </w:r>
      <w:r w:rsidR="00691398" w:rsidRPr="00B87E1C">
        <w:rPr>
          <w:rFonts w:ascii="Times New Roman" w:hAnsi="Times New Roman" w:cs="Times New Roman"/>
        </w:rPr>
        <w:t> !</w:t>
      </w:r>
    </w:p>
    <w:p w14:paraId="2D2D0F3D" w14:textId="20BF0996" w:rsidR="001275FE" w:rsidRPr="00DB1864" w:rsidRDefault="00B87E1C" w:rsidP="00394886">
      <w:pPr>
        <w:spacing w:after="0" w:line="360" w:lineRule="auto"/>
        <w:jc w:val="both"/>
        <w:rPr>
          <w:rFonts w:ascii="Times New Roman" w:hAnsi="Times New Roman" w:cs="Times New Roman"/>
        </w:rPr>
      </w:pPr>
      <w:r w:rsidRPr="00DB1864">
        <w:rPr>
          <w:rFonts w:ascii="Times New Roman" w:hAnsi="Times New Roman" w:cs="Times New Roman"/>
        </w:rPr>
        <w:t>À</w:t>
      </w:r>
      <w:r w:rsidR="004B1F4E" w:rsidRPr="00DB1864">
        <w:rPr>
          <w:rFonts w:ascii="Times New Roman" w:hAnsi="Times New Roman" w:cs="Times New Roman"/>
        </w:rPr>
        <w:t xml:space="preserve"> l’heure du réchauffement climatique </w:t>
      </w:r>
      <w:r w:rsidR="00F0763F" w:rsidRPr="00DB1864">
        <w:rPr>
          <w:rFonts w:ascii="Times New Roman" w:hAnsi="Times New Roman" w:cs="Times New Roman"/>
        </w:rPr>
        <w:t xml:space="preserve">en </w:t>
      </w:r>
      <w:r w:rsidR="00ED5B16" w:rsidRPr="00DB1864">
        <w:rPr>
          <w:rFonts w:ascii="Times New Roman" w:hAnsi="Times New Roman" w:cs="Times New Roman"/>
        </w:rPr>
        <w:t>accélération</w:t>
      </w:r>
      <w:r w:rsidR="00F0763F" w:rsidRPr="00DB1864">
        <w:rPr>
          <w:rFonts w:ascii="Times New Roman" w:hAnsi="Times New Roman" w:cs="Times New Roman"/>
        </w:rPr>
        <w:t xml:space="preserve"> constant</w:t>
      </w:r>
      <w:r w:rsidR="00E06C47" w:rsidRPr="00DB1864">
        <w:rPr>
          <w:rFonts w:ascii="Times New Roman" w:hAnsi="Times New Roman" w:cs="Times New Roman"/>
        </w:rPr>
        <w:t>e</w:t>
      </w:r>
      <w:r w:rsidR="004B1F4E" w:rsidRPr="00DB1864">
        <w:rPr>
          <w:rFonts w:ascii="Times New Roman" w:hAnsi="Times New Roman" w:cs="Times New Roman"/>
        </w:rPr>
        <w:t xml:space="preserve"> et du besoin massif d’énergie pilotable décarbonée, </w:t>
      </w:r>
      <w:r w:rsidR="00F0763F" w:rsidRPr="00DB1864">
        <w:rPr>
          <w:rFonts w:ascii="Times New Roman" w:hAnsi="Times New Roman" w:cs="Times New Roman"/>
        </w:rPr>
        <w:t>l</w:t>
      </w:r>
      <w:r w:rsidR="0083758A" w:rsidRPr="00DB1864">
        <w:rPr>
          <w:rFonts w:ascii="Times New Roman" w:hAnsi="Times New Roman" w:cs="Times New Roman"/>
        </w:rPr>
        <w:t xml:space="preserve">e contexte mondial </w:t>
      </w:r>
      <w:r w:rsidR="00CE6C95" w:rsidRPr="00DB1864">
        <w:rPr>
          <w:rFonts w:ascii="Times New Roman" w:hAnsi="Times New Roman" w:cs="Times New Roman"/>
        </w:rPr>
        <w:t xml:space="preserve">est à </w:t>
      </w:r>
      <w:r w:rsidR="0083758A" w:rsidRPr="00DB1864">
        <w:rPr>
          <w:rFonts w:ascii="Times New Roman" w:hAnsi="Times New Roman" w:cs="Times New Roman"/>
        </w:rPr>
        <w:t>l’expansion du nucléaire</w:t>
      </w:r>
      <w:r w:rsidR="00F0763F" w:rsidRPr="00DB1864">
        <w:rPr>
          <w:rFonts w:ascii="Times New Roman" w:hAnsi="Times New Roman" w:cs="Times New Roman"/>
        </w:rPr>
        <w:t>.</w:t>
      </w:r>
      <w:r w:rsidR="0083758A" w:rsidRPr="00DB1864">
        <w:rPr>
          <w:rFonts w:ascii="Times New Roman" w:hAnsi="Times New Roman" w:cs="Times New Roman"/>
        </w:rPr>
        <w:t xml:space="preserve"> </w:t>
      </w:r>
      <w:r w:rsidR="00F0763F" w:rsidRPr="00DB1864">
        <w:rPr>
          <w:rFonts w:ascii="Times New Roman" w:hAnsi="Times New Roman" w:cs="Times New Roman"/>
        </w:rPr>
        <w:t>C’est pourquoi l’</w:t>
      </w:r>
      <w:r w:rsidR="0083758A" w:rsidRPr="00DB1864">
        <w:rPr>
          <w:rFonts w:ascii="Times New Roman" w:hAnsi="Times New Roman" w:cs="Times New Roman"/>
        </w:rPr>
        <w:t>avenir du nucléaire de fission se joue maintenant à quitte ou double</w:t>
      </w:r>
      <w:r w:rsidR="007F6215" w:rsidRPr="00DB1864">
        <w:rPr>
          <w:rFonts w:ascii="Times New Roman" w:hAnsi="Times New Roman" w:cs="Times New Roman"/>
        </w:rPr>
        <w:t xml:space="preserve">, à la fois </w:t>
      </w:r>
      <w:r w:rsidR="00F0763F" w:rsidRPr="00DB1864">
        <w:rPr>
          <w:rFonts w:ascii="Times New Roman" w:hAnsi="Times New Roman" w:cs="Times New Roman"/>
        </w:rPr>
        <w:t xml:space="preserve">au niveau </w:t>
      </w:r>
      <w:r w:rsidR="00C42A04" w:rsidRPr="00DB1864">
        <w:rPr>
          <w:rFonts w:ascii="Times New Roman" w:hAnsi="Times New Roman" w:cs="Times New Roman"/>
        </w:rPr>
        <w:t>mondial</w:t>
      </w:r>
      <w:r w:rsidR="00CE6C95" w:rsidRPr="00DB1864">
        <w:rPr>
          <w:rFonts w:ascii="Times New Roman" w:hAnsi="Times New Roman" w:cs="Times New Roman"/>
        </w:rPr>
        <w:t xml:space="preserve"> et pays par pays en fonction de </w:t>
      </w:r>
      <w:r w:rsidR="00712EC9" w:rsidRPr="00DB1864">
        <w:rPr>
          <w:rFonts w:ascii="Times New Roman" w:hAnsi="Times New Roman" w:cs="Times New Roman"/>
        </w:rPr>
        <w:t>l</w:t>
      </w:r>
      <w:r w:rsidR="00CE6C95" w:rsidRPr="00DB1864">
        <w:rPr>
          <w:rFonts w:ascii="Times New Roman" w:hAnsi="Times New Roman" w:cs="Times New Roman"/>
        </w:rPr>
        <w:t xml:space="preserve">a capacité </w:t>
      </w:r>
      <w:r w:rsidR="00712EC9" w:rsidRPr="00DB1864">
        <w:rPr>
          <w:rFonts w:ascii="Times New Roman" w:hAnsi="Times New Roman" w:cs="Times New Roman"/>
        </w:rPr>
        <w:t xml:space="preserve">de chaque pays </w:t>
      </w:r>
      <w:r w:rsidR="00CE6C95" w:rsidRPr="00DB1864">
        <w:rPr>
          <w:rFonts w:ascii="Times New Roman" w:hAnsi="Times New Roman" w:cs="Times New Roman"/>
        </w:rPr>
        <w:t xml:space="preserve">à </w:t>
      </w:r>
      <w:r w:rsidR="00C42A04" w:rsidRPr="00DB1864">
        <w:rPr>
          <w:rFonts w:ascii="Times New Roman" w:hAnsi="Times New Roman" w:cs="Times New Roman"/>
        </w:rPr>
        <w:t xml:space="preserve">en </w:t>
      </w:r>
      <w:r w:rsidR="00CE6C95" w:rsidRPr="00DB1864">
        <w:rPr>
          <w:rFonts w:ascii="Times New Roman" w:hAnsi="Times New Roman" w:cs="Times New Roman"/>
        </w:rPr>
        <w:t>comprendre</w:t>
      </w:r>
      <w:r w:rsidR="00483560" w:rsidRPr="00DB1864">
        <w:rPr>
          <w:rFonts w:ascii="Times New Roman" w:hAnsi="Times New Roman" w:cs="Times New Roman"/>
        </w:rPr>
        <w:t xml:space="preserve"> </w:t>
      </w:r>
      <w:r w:rsidR="00CE6C95" w:rsidRPr="00DB1864">
        <w:rPr>
          <w:rFonts w:ascii="Times New Roman" w:hAnsi="Times New Roman" w:cs="Times New Roman"/>
        </w:rPr>
        <w:t>les enjeux</w:t>
      </w:r>
      <w:r w:rsidR="00483560" w:rsidRPr="00DB1864">
        <w:rPr>
          <w:rFonts w:ascii="Times New Roman" w:hAnsi="Times New Roman" w:cs="Times New Roman"/>
        </w:rPr>
        <w:t>.</w:t>
      </w:r>
      <w:r w:rsidR="0023699C" w:rsidRPr="00DB1864">
        <w:rPr>
          <w:rFonts w:ascii="Times New Roman" w:hAnsi="Times New Roman" w:cs="Times New Roman"/>
        </w:rPr>
        <w:t xml:space="preserve"> </w:t>
      </w:r>
      <w:r w:rsidR="00463B24" w:rsidRPr="005A1E52">
        <w:rPr>
          <w:rFonts w:ascii="Times New Roman" w:hAnsi="Times New Roman" w:cs="Times New Roman"/>
          <w:color w:val="0070C0"/>
        </w:rPr>
        <w:t xml:space="preserve">Pour la </w:t>
      </w:r>
      <w:r w:rsidR="00DB1864" w:rsidRPr="005A1E52">
        <w:rPr>
          <w:rFonts w:ascii="Times New Roman" w:hAnsi="Times New Roman" w:cs="Times New Roman"/>
          <w:color w:val="0070C0"/>
        </w:rPr>
        <w:t>France,</w:t>
      </w:r>
      <w:r w:rsidR="00063FA8" w:rsidRPr="005A1E52">
        <w:rPr>
          <w:rFonts w:ascii="Times New Roman" w:hAnsi="Times New Roman" w:cs="Times New Roman"/>
          <w:color w:val="0070C0"/>
        </w:rPr>
        <w:t xml:space="preserve"> l</w:t>
      </w:r>
      <w:r w:rsidR="0023699C" w:rsidRPr="005A1E52">
        <w:rPr>
          <w:rFonts w:ascii="Times New Roman" w:hAnsi="Times New Roman" w:cs="Times New Roman"/>
          <w:color w:val="0070C0"/>
        </w:rPr>
        <w:t>’alternative est simple : s</w:t>
      </w:r>
      <w:r w:rsidR="00483560" w:rsidRPr="005A1E52">
        <w:rPr>
          <w:rFonts w:ascii="Times New Roman" w:hAnsi="Times New Roman" w:cs="Times New Roman"/>
          <w:color w:val="0070C0"/>
        </w:rPr>
        <w:t>oit se mainten</w:t>
      </w:r>
      <w:r w:rsidR="00E22B42" w:rsidRPr="005A1E52">
        <w:rPr>
          <w:rFonts w:ascii="Times New Roman" w:hAnsi="Times New Roman" w:cs="Times New Roman"/>
          <w:color w:val="0070C0"/>
        </w:rPr>
        <w:t xml:space="preserve">ir </w:t>
      </w:r>
      <w:r w:rsidR="00B76173" w:rsidRPr="005A1E52">
        <w:rPr>
          <w:rFonts w:ascii="Times New Roman" w:hAnsi="Times New Roman" w:cs="Times New Roman"/>
          <w:color w:val="0070C0"/>
        </w:rPr>
        <w:t xml:space="preserve">dans </w:t>
      </w:r>
      <w:r w:rsidR="0083758A" w:rsidRPr="005A1E52">
        <w:rPr>
          <w:rFonts w:ascii="Times New Roman" w:hAnsi="Times New Roman" w:cs="Times New Roman"/>
          <w:color w:val="0070C0"/>
        </w:rPr>
        <w:t xml:space="preserve">la filière des réacteurs à neutrons lents </w:t>
      </w:r>
      <w:r w:rsidR="001A7DD0" w:rsidRPr="005A1E52">
        <w:rPr>
          <w:rFonts w:ascii="Times New Roman" w:hAnsi="Times New Roman" w:cs="Times New Roman"/>
          <w:color w:val="0070C0"/>
        </w:rPr>
        <w:t>jusqu’</w:t>
      </w:r>
      <w:r w:rsidR="0083758A" w:rsidRPr="005A1E52">
        <w:rPr>
          <w:rFonts w:ascii="Times New Roman" w:hAnsi="Times New Roman" w:cs="Times New Roman"/>
          <w:color w:val="0070C0"/>
        </w:rPr>
        <w:t>à l’épuisement de l’</w:t>
      </w:r>
      <w:r w:rsidR="00DB1864" w:rsidRPr="005A1E52">
        <w:rPr>
          <w:rFonts w:ascii="Times New Roman" w:hAnsi="Times New Roman" w:cs="Times New Roman"/>
          <w:color w:val="0070C0"/>
        </w:rPr>
        <w:t>U</w:t>
      </w:r>
      <w:r w:rsidR="0083758A" w:rsidRPr="005A1E52">
        <w:rPr>
          <w:rFonts w:ascii="Times New Roman" w:hAnsi="Times New Roman" w:cs="Times New Roman"/>
          <w:color w:val="0070C0"/>
          <w:vertAlign w:val="superscript"/>
        </w:rPr>
        <w:t>235</w:t>
      </w:r>
      <w:r w:rsidR="0083758A" w:rsidRPr="005A1E52">
        <w:rPr>
          <w:rFonts w:ascii="Times New Roman" w:hAnsi="Times New Roman" w:cs="Times New Roman"/>
          <w:color w:val="0070C0"/>
        </w:rPr>
        <w:t xml:space="preserve"> vers le milieu du siècle</w:t>
      </w:r>
      <w:r w:rsidR="00DB1864" w:rsidRPr="005A1E52">
        <w:rPr>
          <w:rFonts w:ascii="Times New Roman" w:hAnsi="Times New Roman" w:cs="Times New Roman"/>
          <w:color w:val="0070C0"/>
        </w:rPr>
        <w:t>,</w:t>
      </w:r>
      <w:r w:rsidR="0083758A" w:rsidRPr="005A1E52">
        <w:rPr>
          <w:rFonts w:ascii="Times New Roman" w:hAnsi="Times New Roman" w:cs="Times New Roman"/>
          <w:color w:val="0070C0"/>
        </w:rPr>
        <w:t xml:space="preserve"> </w:t>
      </w:r>
      <w:r w:rsidR="00DB1864" w:rsidRPr="005A1E52">
        <w:rPr>
          <w:rFonts w:ascii="Times New Roman" w:hAnsi="Times New Roman" w:cs="Times New Roman"/>
          <w:color w:val="0070C0"/>
        </w:rPr>
        <w:t>s</w:t>
      </w:r>
      <w:r w:rsidR="001A7DD0" w:rsidRPr="005A1E52">
        <w:rPr>
          <w:rFonts w:ascii="Times New Roman" w:hAnsi="Times New Roman" w:cs="Times New Roman"/>
          <w:color w:val="0070C0"/>
        </w:rPr>
        <w:t>oit se réorienter</w:t>
      </w:r>
      <w:r w:rsidR="00DB1864" w:rsidRPr="005A1E52">
        <w:rPr>
          <w:rFonts w:ascii="Times New Roman" w:hAnsi="Times New Roman" w:cs="Times New Roman"/>
          <w:color w:val="0070C0"/>
        </w:rPr>
        <w:t xml:space="preserve"> sans plus attendre</w:t>
      </w:r>
      <w:r w:rsidR="001A7DD0" w:rsidRPr="005A1E52">
        <w:rPr>
          <w:rFonts w:ascii="Times New Roman" w:hAnsi="Times New Roman" w:cs="Times New Roman"/>
          <w:color w:val="0070C0"/>
        </w:rPr>
        <w:t xml:space="preserve"> vers</w:t>
      </w:r>
      <w:r w:rsidR="00010EFA" w:rsidRPr="005A1E52">
        <w:rPr>
          <w:rFonts w:ascii="Times New Roman" w:hAnsi="Times New Roman" w:cs="Times New Roman"/>
          <w:color w:val="0070C0"/>
        </w:rPr>
        <w:t xml:space="preserve"> les RNR</w:t>
      </w:r>
      <w:r w:rsidR="00B76173" w:rsidRPr="005A1E52">
        <w:rPr>
          <w:rFonts w:ascii="Times New Roman" w:hAnsi="Times New Roman" w:cs="Times New Roman"/>
          <w:color w:val="0070C0"/>
        </w:rPr>
        <w:t xml:space="preserve">, </w:t>
      </w:r>
      <w:r w:rsidR="00063FA8" w:rsidRPr="005A1E52">
        <w:rPr>
          <w:rFonts w:ascii="Times New Roman" w:hAnsi="Times New Roman" w:cs="Times New Roman"/>
          <w:color w:val="0070C0"/>
        </w:rPr>
        <w:t xml:space="preserve">lui </w:t>
      </w:r>
      <w:r w:rsidR="00BE6FF1" w:rsidRPr="005A1E52">
        <w:rPr>
          <w:rFonts w:ascii="Times New Roman" w:hAnsi="Times New Roman" w:cs="Times New Roman"/>
          <w:color w:val="0070C0"/>
        </w:rPr>
        <w:t>donnant</w:t>
      </w:r>
      <w:r w:rsidR="002177F3" w:rsidRPr="005A1E52">
        <w:rPr>
          <w:rFonts w:ascii="Times New Roman" w:hAnsi="Times New Roman" w:cs="Times New Roman"/>
          <w:color w:val="0070C0"/>
        </w:rPr>
        <w:t>,</w:t>
      </w:r>
      <w:r w:rsidR="00BE6FF1" w:rsidRPr="005A1E52">
        <w:rPr>
          <w:rFonts w:ascii="Times New Roman" w:hAnsi="Times New Roman" w:cs="Times New Roman"/>
          <w:color w:val="0070C0"/>
        </w:rPr>
        <w:t xml:space="preserve"> </w:t>
      </w:r>
      <w:r w:rsidR="00063FA8" w:rsidRPr="005A1E52">
        <w:rPr>
          <w:rFonts w:ascii="Times New Roman" w:hAnsi="Times New Roman" w:cs="Times New Roman"/>
          <w:color w:val="0070C0"/>
        </w:rPr>
        <w:t>ainsi</w:t>
      </w:r>
      <w:r w:rsidR="00B76173" w:rsidRPr="005A1E52">
        <w:rPr>
          <w:rFonts w:ascii="Times New Roman" w:hAnsi="Times New Roman" w:cs="Times New Roman"/>
          <w:color w:val="0070C0"/>
        </w:rPr>
        <w:t xml:space="preserve"> </w:t>
      </w:r>
      <w:r w:rsidR="00063FA8" w:rsidRPr="005A1E52">
        <w:rPr>
          <w:rFonts w:ascii="Times New Roman" w:hAnsi="Times New Roman" w:cs="Times New Roman"/>
          <w:color w:val="0070C0"/>
        </w:rPr>
        <w:t>qu’</w:t>
      </w:r>
      <w:r w:rsidR="00BE6FF1" w:rsidRPr="005A1E52">
        <w:rPr>
          <w:rFonts w:ascii="Times New Roman" w:hAnsi="Times New Roman" w:cs="Times New Roman"/>
          <w:color w:val="0070C0"/>
        </w:rPr>
        <w:t xml:space="preserve">à </w:t>
      </w:r>
      <w:r w:rsidR="00DB1864" w:rsidRPr="005A1E52">
        <w:rPr>
          <w:rFonts w:ascii="Times New Roman" w:hAnsi="Times New Roman" w:cs="Times New Roman"/>
          <w:color w:val="0070C0"/>
        </w:rPr>
        <w:t>l’Europe</w:t>
      </w:r>
      <w:r w:rsidR="002177F3" w:rsidRPr="005A1E52">
        <w:rPr>
          <w:rFonts w:ascii="Times New Roman" w:hAnsi="Times New Roman" w:cs="Times New Roman"/>
          <w:color w:val="0070C0"/>
        </w:rPr>
        <w:t>,</w:t>
      </w:r>
      <w:r w:rsidR="00B76173" w:rsidRPr="005A1E52">
        <w:rPr>
          <w:rFonts w:ascii="Times New Roman" w:hAnsi="Times New Roman" w:cs="Times New Roman"/>
          <w:color w:val="0070C0"/>
        </w:rPr>
        <w:t xml:space="preserve"> </w:t>
      </w:r>
      <w:r w:rsidR="00BE6FF1" w:rsidRPr="005A1E52">
        <w:rPr>
          <w:rFonts w:ascii="Times New Roman" w:hAnsi="Times New Roman" w:cs="Times New Roman"/>
          <w:color w:val="0070C0"/>
        </w:rPr>
        <w:t>la souveraineté</w:t>
      </w:r>
      <w:r w:rsidR="00A91856" w:rsidRPr="005A1E52">
        <w:rPr>
          <w:rFonts w:ascii="Times New Roman" w:hAnsi="Times New Roman" w:cs="Times New Roman"/>
          <w:color w:val="0070C0"/>
        </w:rPr>
        <w:t xml:space="preserve"> </w:t>
      </w:r>
      <w:r w:rsidR="00BE6FF1" w:rsidRPr="005A1E52">
        <w:rPr>
          <w:rFonts w:ascii="Times New Roman" w:hAnsi="Times New Roman" w:cs="Times New Roman"/>
          <w:color w:val="0070C0"/>
        </w:rPr>
        <w:t xml:space="preserve">de </w:t>
      </w:r>
      <w:r w:rsidR="00063FA8" w:rsidRPr="005A1E52">
        <w:rPr>
          <w:rFonts w:ascii="Times New Roman" w:hAnsi="Times New Roman" w:cs="Times New Roman"/>
          <w:color w:val="0070C0"/>
        </w:rPr>
        <w:t>sa</w:t>
      </w:r>
      <w:r w:rsidR="00BE6FF1" w:rsidRPr="005A1E52">
        <w:rPr>
          <w:rFonts w:ascii="Times New Roman" w:hAnsi="Times New Roman" w:cs="Times New Roman"/>
          <w:color w:val="0070C0"/>
        </w:rPr>
        <w:t xml:space="preserve"> </w:t>
      </w:r>
      <w:r w:rsidR="00B76173" w:rsidRPr="005A1E52">
        <w:rPr>
          <w:rFonts w:ascii="Times New Roman" w:hAnsi="Times New Roman" w:cs="Times New Roman"/>
          <w:color w:val="0070C0"/>
        </w:rPr>
        <w:t>production d’électricité</w:t>
      </w:r>
      <w:r w:rsidR="00BE6FF1" w:rsidRPr="005A1E52">
        <w:rPr>
          <w:rFonts w:ascii="Times New Roman" w:hAnsi="Times New Roman" w:cs="Times New Roman"/>
          <w:color w:val="0070C0"/>
        </w:rPr>
        <w:t xml:space="preserve"> pour des millénaires</w:t>
      </w:r>
      <w:r w:rsidR="00B76173" w:rsidRPr="005A1E52">
        <w:rPr>
          <w:rFonts w:ascii="Times New Roman" w:hAnsi="Times New Roman" w:cs="Times New Roman"/>
          <w:color w:val="0070C0"/>
        </w:rPr>
        <w:t>.</w:t>
      </w:r>
    </w:p>
    <w:p w14:paraId="0E9E7370" w14:textId="20DD1505" w:rsidR="005B0D81" w:rsidRPr="00DB1864" w:rsidRDefault="00421ABD" w:rsidP="005B0D81">
      <w:pPr>
        <w:spacing w:after="0" w:line="360" w:lineRule="auto"/>
        <w:jc w:val="both"/>
        <w:rPr>
          <w:rFonts w:ascii="Times New Roman" w:hAnsi="Times New Roman" w:cs="Times New Roman"/>
          <w:bCs/>
        </w:rPr>
      </w:pPr>
      <w:r w:rsidRPr="00DB1864">
        <w:rPr>
          <w:rFonts w:ascii="Times New Roman" w:hAnsi="Times New Roman" w:cs="Times New Roman"/>
          <w:bCs/>
        </w:rPr>
        <w:t>Si gouverner est prévoir</w:t>
      </w:r>
      <w:r w:rsidR="002177F3">
        <w:rPr>
          <w:rFonts w:ascii="Times New Roman" w:hAnsi="Times New Roman" w:cs="Times New Roman"/>
          <w:bCs/>
        </w:rPr>
        <w:t>,</w:t>
      </w:r>
      <w:r w:rsidRPr="00DB1864">
        <w:rPr>
          <w:rFonts w:ascii="Times New Roman" w:hAnsi="Times New Roman" w:cs="Times New Roman"/>
          <w:bCs/>
        </w:rPr>
        <w:t xml:space="preserve"> comment ignorer cette analyse quand les installations à réaliser</w:t>
      </w:r>
      <w:r w:rsidR="007A5D26" w:rsidRPr="00DB1864">
        <w:rPr>
          <w:rFonts w:ascii="Times New Roman" w:hAnsi="Times New Roman" w:cs="Times New Roman"/>
          <w:bCs/>
        </w:rPr>
        <w:t>, réacteurs et usines du cycle,</w:t>
      </w:r>
      <w:r w:rsidRPr="00DB1864">
        <w:rPr>
          <w:rFonts w:ascii="Times New Roman" w:hAnsi="Times New Roman" w:cs="Times New Roman"/>
          <w:bCs/>
        </w:rPr>
        <w:t xml:space="preserve"> nécessitent plusieurs décennies ?</w:t>
      </w:r>
      <w:r w:rsidR="007A5D26" w:rsidRPr="00DB1864">
        <w:rPr>
          <w:rFonts w:ascii="Times New Roman" w:hAnsi="Times New Roman" w:cs="Times New Roman"/>
          <w:bCs/>
        </w:rPr>
        <w:t xml:space="preserve"> </w:t>
      </w:r>
      <w:r w:rsidR="001275FE" w:rsidRPr="00DB1864">
        <w:rPr>
          <w:rFonts w:ascii="Times New Roman" w:hAnsi="Times New Roman" w:cs="Times New Roman"/>
          <w:bCs/>
        </w:rPr>
        <w:t xml:space="preserve">Au vu de la médiocrité des textes en préparation, au vu du mépris dans lequel on tient </w:t>
      </w:r>
      <w:r w:rsidR="005F2CD4" w:rsidRPr="00DB1864">
        <w:rPr>
          <w:rFonts w:ascii="Times New Roman" w:hAnsi="Times New Roman" w:cs="Times New Roman"/>
          <w:bCs/>
        </w:rPr>
        <w:t xml:space="preserve">les </w:t>
      </w:r>
      <w:r w:rsidR="00F96FDF" w:rsidRPr="00DB1864">
        <w:rPr>
          <w:rFonts w:ascii="Times New Roman" w:hAnsi="Times New Roman" w:cs="Times New Roman"/>
          <w:bCs/>
        </w:rPr>
        <w:t xml:space="preserve">deux </w:t>
      </w:r>
      <w:r w:rsidR="001275FE" w:rsidRPr="00DB1864">
        <w:rPr>
          <w:rFonts w:ascii="Times New Roman" w:hAnsi="Times New Roman" w:cs="Times New Roman"/>
          <w:bCs/>
        </w:rPr>
        <w:t>rapports parlementaires</w:t>
      </w:r>
      <w:r w:rsidR="00F96FDF" w:rsidRPr="00DB1864">
        <w:rPr>
          <w:rFonts w:ascii="Times New Roman" w:hAnsi="Times New Roman" w:cs="Times New Roman"/>
          <w:bCs/>
        </w:rPr>
        <w:t xml:space="preserve"> récents</w:t>
      </w:r>
      <w:r w:rsidR="009A1512" w:rsidRPr="00DB1864">
        <w:rPr>
          <w:rStyle w:val="Appelnotedebasdep"/>
          <w:rFonts w:ascii="Times New Roman" w:hAnsi="Times New Roman" w:cs="Times New Roman"/>
          <w:bCs/>
          <w:highlight w:val="red"/>
        </w:rPr>
        <w:footnoteReference w:id="11"/>
      </w:r>
      <w:r w:rsidR="00C47FB0" w:rsidRPr="00DB1864">
        <w:rPr>
          <w:rFonts w:ascii="Times New Roman" w:hAnsi="Times New Roman" w:cs="Times New Roman"/>
          <w:bCs/>
        </w:rPr>
        <w:t xml:space="preserve"> </w:t>
      </w:r>
      <w:r w:rsidR="00A4281B" w:rsidRPr="00DB1864">
        <w:rPr>
          <w:rFonts w:ascii="Times New Roman" w:hAnsi="Times New Roman" w:cs="Times New Roman"/>
          <w:bCs/>
        </w:rPr>
        <w:t xml:space="preserve">qui insistent </w:t>
      </w:r>
      <w:r w:rsidR="005F2CD4" w:rsidRPr="00DB1864">
        <w:rPr>
          <w:rFonts w:ascii="Times New Roman" w:hAnsi="Times New Roman" w:cs="Times New Roman"/>
          <w:bCs/>
        </w:rPr>
        <w:t>sur la nécessité des RNR</w:t>
      </w:r>
      <w:r w:rsidR="005B0D81" w:rsidRPr="00DB1864">
        <w:rPr>
          <w:rFonts w:ascii="Times New Roman" w:hAnsi="Times New Roman" w:cs="Times New Roman"/>
          <w:bCs/>
        </w:rPr>
        <w:t xml:space="preserve">, le citoyen peut-il </w:t>
      </w:r>
      <w:r w:rsidR="001275FE" w:rsidRPr="00DB1864">
        <w:rPr>
          <w:rFonts w:ascii="Times New Roman" w:hAnsi="Times New Roman" w:cs="Times New Roman"/>
          <w:bCs/>
        </w:rPr>
        <w:t xml:space="preserve">encore espérer </w:t>
      </w:r>
      <w:r w:rsidRPr="00DB1864">
        <w:rPr>
          <w:rFonts w:ascii="Times New Roman" w:hAnsi="Times New Roman" w:cs="Times New Roman"/>
          <w:bCs/>
        </w:rPr>
        <w:t>choisir entre l’arrêt du nucléaire</w:t>
      </w:r>
      <w:r w:rsidR="006E7C40" w:rsidRPr="00DB1864">
        <w:rPr>
          <w:rFonts w:ascii="Times New Roman" w:hAnsi="Times New Roman" w:cs="Times New Roman"/>
          <w:bCs/>
        </w:rPr>
        <w:t xml:space="preserve"> qui suivra le choc d’uranium</w:t>
      </w:r>
      <w:r w:rsidRPr="00DB1864">
        <w:rPr>
          <w:rFonts w:ascii="Times New Roman" w:hAnsi="Times New Roman" w:cs="Times New Roman"/>
          <w:bCs/>
        </w:rPr>
        <w:t xml:space="preserve"> et la poursuite sur des millénaires grâce aux RNR ?</w:t>
      </w:r>
      <w:r w:rsidR="005B0D81" w:rsidRPr="00DB1864">
        <w:rPr>
          <w:rFonts w:ascii="Times New Roman" w:hAnsi="Times New Roman" w:cs="Times New Roman"/>
          <w:bCs/>
        </w:rPr>
        <w:t xml:space="preserve"> </w:t>
      </w:r>
    </w:p>
    <w:p w14:paraId="2FB14CB5" w14:textId="77777777" w:rsidR="007667D1" w:rsidRDefault="007667D1" w:rsidP="005B0D81">
      <w:pPr>
        <w:spacing w:after="0" w:line="360" w:lineRule="auto"/>
        <w:jc w:val="both"/>
        <w:rPr>
          <w:rFonts w:cstheme="minorHAnsi"/>
          <w:b/>
          <w:bCs/>
        </w:rPr>
      </w:pPr>
    </w:p>
    <w:p w14:paraId="752FD83F" w14:textId="13448F40" w:rsidR="00DB1864" w:rsidRDefault="00DB1864" w:rsidP="00DB1864">
      <w:pPr>
        <w:spacing w:after="0" w:line="360" w:lineRule="auto"/>
        <w:jc w:val="right"/>
        <w:rPr>
          <w:iCs/>
        </w:rPr>
      </w:pPr>
      <w:r w:rsidRPr="00DB1864">
        <w:rPr>
          <w:iCs/>
        </w:rPr>
        <w:t>*CLAIRE KERBOUL</w:t>
      </w:r>
      <w:r w:rsidR="007667D1" w:rsidRPr="00DB1864">
        <w:rPr>
          <w:iCs/>
        </w:rPr>
        <w:t xml:space="preserve"> est docteur</w:t>
      </w:r>
      <w:r>
        <w:rPr>
          <w:iCs/>
        </w:rPr>
        <w:t>e</w:t>
      </w:r>
      <w:r w:rsidR="007667D1" w:rsidRPr="00DB1864">
        <w:rPr>
          <w:iCs/>
        </w:rPr>
        <w:t xml:space="preserve"> ès sciences physiques</w:t>
      </w:r>
      <w:r>
        <w:rPr>
          <w:iCs/>
        </w:rPr>
        <w:t>.</w:t>
      </w:r>
    </w:p>
    <w:p w14:paraId="52B886BE" w14:textId="77777777" w:rsidR="00DB1864" w:rsidRDefault="00DB1864" w:rsidP="005B0D81">
      <w:pPr>
        <w:spacing w:after="0" w:line="360" w:lineRule="auto"/>
        <w:jc w:val="both"/>
        <w:rPr>
          <w:iCs/>
        </w:rPr>
      </w:pPr>
    </w:p>
    <w:p w14:paraId="41EFAE29" w14:textId="05923AA4" w:rsidR="00DB1864" w:rsidRPr="00DB1864" w:rsidRDefault="00DB1864" w:rsidP="005B0D81">
      <w:pPr>
        <w:spacing w:after="0" w:line="360" w:lineRule="auto"/>
        <w:jc w:val="both"/>
        <w:rPr>
          <w:b/>
          <w:iCs/>
        </w:rPr>
      </w:pPr>
      <w:r w:rsidRPr="00DB1864">
        <w:rPr>
          <w:b/>
          <w:iCs/>
          <w:color w:val="FF0000"/>
        </w:rPr>
        <w:t>(((((Encadré ; visuel : la couverture du bouquin)))))</w:t>
      </w:r>
    </w:p>
    <w:p w14:paraId="09161E41" w14:textId="0F884A58" w:rsidR="007667D1" w:rsidRPr="00DB1864" w:rsidRDefault="007667D1" w:rsidP="005B0D81">
      <w:pPr>
        <w:spacing w:after="0" w:line="360" w:lineRule="auto"/>
        <w:jc w:val="both"/>
        <w:rPr>
          <w:iCs/>
        </w:rPr>
      </w:pPr>
      <w:r w:rsidRPr="00DB1864">
        <w:rPr>
          <w:iCs/>
        </w:rPr>
        <w:t xml:space="preserve">Spécialisée en physique nucléaire, </w:t>
      </w:r>
      <w:r w:rsidR="00DB1864">
        <w:rPr>
          <w:iCs/>
        </w:rPr>
        <w:t xml:space="preserve">Claire Kerboul, </w:t>
      </w:r>
      <w:r w:rsidR="00DB1864" w:rsidRPr="00DB1864">
        <w:rPr>
          <w:iCs/>
        </w:rPr>
        <w:t>ancien</w:t>
      </w:r>
      <w:r w:rsidR="00DB1864">
        <w:rPr>
          <w:iCs/>
        </w:rPr>
        <w:t>ne</w:t>
      </w:r>
      <w:r w:rsidR="00DB1864" w:rsidRPr="00DB1864">
        <w:rPr>
          <w:iCs/>
        </w:rPr>
        <w:t xml:space="preserve"> direct</w:t>
      </w:r>
      <w:r w:rsidR="00DB1864">
        <w:rPr>
          <w:iCs/>
        </w:rPr>
        <w:t>rice</w:t>
      </w:r>
      <w:r w:rsidR="00DB1864" w:rsidRPr="00DB1864">
        <w:rPr>
          <w:iCs/>
        </w:rPr>
        <w:t xml:space="preserve"> de cabinet du </w:t>
      </w:r>
      <w:r w:rsidR="00DB1864">
        <w:rPr>
          <w:iCs/>
        </w:rPr>
        <w:t>h</w:t>
      </w:r>
      <w:r w:rsidR="00DB1864" w:rsidRPr="00DB1864">
        <w:rPr>
          <w:iCs/>
        </w:rPr>
        <w:t>aut-</w:t>
      </w:r>
      <w:r w:rsidR="00DB1864">
        <w:rPr>
          <w:iCs/>
        </w:rPr>
        <w:t>c</w:t>
      </w:r>
      <w:r w:rsidR="00DB1864" w:rsidRPr="00DB1864">
        <w:rPr>
          <w:iCs/>
        </w:rPr>
        <w:t>ommissaire à l’énergie atomique</w:t>
      </w:r>
      <w:r w:rsidR="00DB1864">
        <w:rPr>
          <w:iCs/>
        </w:rPr>
        <w:t>,</w:t>
      </w:r>
      <w:r w:rsidRPr="00DB1864">
        <w:rPr>
          <w:iCs/>
        </w:rPr>
        <w:t xml:space="preserve"> est l’auteur de </w:t>
      </w:r>
      <w:r w:rsidR="00DB1864" w:rsidRPr="00DB1864">
        <w:rPr>
          <w:i/>
          <w:iCs/>
        </w:rPr>
        <w:t>l’U</w:t>
      </w:r>
      <w:r w:rsidRPr="00DB1864">
        <w:rPr>
          <w:i/>
          <w:iCs/>
        </w:rPr>
        <w:t>rgence du nucléaire durable</w:t>
      </w:r>
      <w:r w:rsidRPr="00DB1864">
        <w:rPr>
          <w:iCs/>
        </w:rPr>
        <w:t xml:space="preserve"> (De Boeck sup</w:t>
      </w:r>
      <w:r w:rsidR="00DB1864">
        <w:rPr>
          <w:iCs/>
        </w:rPr>
        <w:t>.</w:t>
      </w:r>
      <w:r w:rsidRPr="00DB1864">
        <w:rPr>
          <w:iCs/>
        </w:rPr>
        <w:t xml:space="preserve">). Face aux crises climatique et énergétique, elle milite pour le redémarrage de la filière des réacteurs à neutrons rapides en </w:t>
      </w:r>
      <w:r w:rsidR="00F272B8">
        <w:rPr>
          <w:iCs/>
        </w:rPr>
        <w:t>France ; elle est</w:t>
      </w:r>
      <w:r w:rsidR="00F272B8" w:rsidRPr="00DB1864">
        <w:rPr>
          <w:iCs/>
        </w:rPr>
        <w:t xml:space="preserve"> administrat</w:t>
      </w:r>
      <w:r w:rsidR="00F272B8">
        <w:rPr>
          <w:iCs/>
        </w:rPr>
        <w:t xml:space="preserve">rice de PNC </w:t>
      </w:r>
      <w:r w:rsidR="00F272B8" w:rsidRPr="00DB1864">
        <w:rPr>
          <w:iCs/>
        </w:rPr>
        <w:t>France et de Sauvons le climat</w:t>
      </w:r>
      <w:r w:rsidRPr="00DB1864">
        <w:rPr>
          <w:iCs/>
        </w:rPr>
        <w:t>.</w:t>
      </w:r>
    </w:p>
    <w:p w14:paraId="6C8AA92E" w14:textId="6FBF475B" w:rsidR="00421ABD" w:rsidRPr="00984E35" w:rsidRDefault="00421ABD" w:rsidP="00394886">
      <w:pPr>
        <w:spacing w:after="0" w:line="360" w:lineRule="auto"/>
        <w:jc w:val="both"/>
        <w:rPr>
          <w:rFonts w:cstheme="minorHAnsi"/>
        </w:rPr>
      </w:pPr>
    </w:p>
    <w:p w14:paraId="6F45D96B" w14:textId="77777777" w:rsidR="00421ABD" w:rsidRPr="00984E35" w:rsidRDefault="00421ABD" w:rsidP="00394886">
      <w:pPr>
        <w:spacing w:after="0" w:line="360" w:lineRule="auto"/>
        <w:jc w:val="both"/>
        <w:rPr>
          <w:rFonts w:cstheme="minorHAnsi"/>
        </w:rPr>
      </w:pPr>
    </w:p>
    <w:p w14:paraId="4132BD6D" w14:textId="77777777" w:rsidR="007C5382" w:rsidRPr="00C324E0" w:rsidRDefault="007C5382" w:rsidP="007C5382">
      <w:pPr>
        <w:spacing w:before="120" w:after="0" w:line="360" w:lineRule="auto"/>
        <w:rPr>
          <w:rFonts w:ascii="Times New Roman" w:hAnsi="Times New Roman" w:cs="Times New Roman"/>
          <w:b/>
          <w:color w:val="FF0000"/>
        </w:rPr>
      </w:pPr>
      <w:r w:rsidRPr="00C324E0">
        <w:rPr>
          <w:rFonts w:ascii="Times New Roman" w:hAnsi="Times New Roman" w:cs="Times New Roman"/>
          <w:b/>
          <w:color w:val="FF0000"/>
        </w:rPr>
        <w:t>((((ENCADRÉ 1))))</w:t>
      </w:r>
    </w:p>
    <w:p w14:paraId="5299D643" w14:textId="77777777" w:rsidR="007C5382" w:rsidRPr="00C324E0" w:rsidRDefault="007C5382" w:rsidP="007C5382">
      <w:pPr>
        <w:spacing w:before="120" w:after="0" w:line="360" w:lineRule="auto"/>
        <w:rPr>
          <w:rFonts w:ascii="Times New Roman" w:hAnsi="Times New Roman" w:cs="Times New Roman"/>
          <w:b/>
        </w:rPr>
      </w:pPr>
      <w:r>
        <w:rPr>
          <w:rFonts w:ascii="Times New Roman" w:hAnsi="Times New Roman" w:cs="Times New Roman"/>
          <w:b/>
        </w:rPr>
        <w:t>UN AVIS</w:t>
      </w:r>
      <w:r w:rsidRPr="00C324E0">
        <w:rPr>
          <w:rFonts w:ascii="Times New Roman" w:hAnsi="Times New Roman" w:cs="Times New Roman"/>
          <w:b/>
        </w:rPr>
        <w:t xml:space="preserve"> DE LA R</w:t>
      </w:r>
      <w:r>
        <w:rPr>
          <w:rFonts w:ascii="Times New Roman" w:hAnsi="Times New Roman" w:cs="Times New Roman"/>
          <w:b/>
        </w:rPr>
        <w:t>É</w:t>
      </w:r>
      <w:r w:rsidRPr="00C324E0">
        <w:rPr>
          <w:rFonts w:ascii="Times New Roman" w:hAnsi="Times New Roman" w:cs="Times New Roman"/>
          <w:b/>
        </w:rPr>
        <w:t>DACTION</w:t>
      </w:r>
    </w:p>
    <w:p w14:paraId="72BDB61B" w14:textId="77777777" w:rsidR="007C5382" w:rsidRPr="00C324E0" w:rsidRDefault="007C5382" w:rsidP="007C5382">
      <w:pPr>
        <w:spacing w:before="120" w:after="0" w:line="360" w:lineRule="auto"/>
        <w:jc w:val="both"/>
        <w:rPr>
          <w:rFonts w:ascii="Times New Roman" w:hAnsi="Times New Roman" w:cs="Times New Roman"/>
        </w:rPr>
      </w:pPr>
      <w:r w:rsidRPr="00C324E0">
        <w:rPr>
          <w:rFonts w:ascii="Times New Roman" w:hAnsi="Times New Roman" w:cs="Times New Roman"/>
          <w:i/>
        </w:rPr>
        <w:t>Progressistes</w:t>
      </w:r>
      <w:r w:rsidRPr="00C324E0">
        <w:rPr>
          <w:rFonts w:ascii="Times New Roman" w:hAnsi="Times New Roman" w:cs="Times New Roman"/>
        </w:rPr>
        <w:t xml:space="preserve"> a publié le plan climat du PCF Empreinte</w:t>
      </w:r>
      <w:r>
        <w:rPr>
          <w:rFonts w:ascii="Times New Roman" w:hAnsi="Times New Roman" w:cs="Times New Roman"/>
        </w:rPr>
        <w:t> </w:t>
      </w:r>
      <w:r w:rsidRPr="00C324E0">
        <w:rPr>
          <w:rFonts w:ascii="Times New Roman" w:hAnsi="Times New Roman" w:cs="Times New Roman"/>
        </w:rPr>
        <w:t xml:space="preserve">2050, que sa rédaction soutient. Comme Claire </w:t>
      </w:r>
      <w:proofErr w:type="spellStart"/>
      <w:r w:rsidRPr="00C324E0">
        <w:rPr>
          <w:rFonts w:ascii="Times New Roman" w:hAnsi="Times New Roman" w:cs="Times New Roman"/>
        </w:rPr>
        <w:t>Kerboul</w:t>
      </w:r>
      <w:proofErr w:type="spellEnd"/>
      <w:r w:rsidRPr="00C324E0">
        <w:rPr>
          <w:rFonts w:ascii="Times New Roman" w:hAnsi="Times New Roman" w:cs="Times New Roman"/>
        </w:rPr>
        <w:t>, ce plan considère que la transition vers le nucléaire durable sera indispensable et dénonce l’inconséquence des décisions politiques de fermeture de Superphénix (Lionel Jospin en 1997) et l’ajournement du projet ASTRID (Emmanuel Macron en 2019). Il défend la relance immédiate de la filière française à neutrons rapides (RNR) par l’engagement d’études conjointes d’un réacteur démonstrateur et d’industrialisation du cycle du combustible adapté aux RNR.</w:t>
      </w:r>
    </w:p>
    <w:p w14:paraId="73002DFB" w14:textId="77777777" w:rsidR="007C5382" w:rsidRPr="00C324E0" w:rsidRDefault="007C5382" w:rsidP="007C5382">
      <w:pPr>
        <w:spacing w:before="120" w:after="0" w:line="360" w:lineRule="auto"/>
        <w:jc w:val="both"/>
        <w:rPr>
          <w:rFonts w:ascii="Times New Roman" w:hAnsi="Times New Roman" w:cs="Times New Roman"/>
        </w:rPr>
      </w:pPr>
      <w:r w:rsidRPr="00C324E0">
        <w:rPr>
          <w:rFonts w:ascii="Times New Roman" w:hAnsi="Times New Roman" w:cs="Times New Roman"/>
        </w:rPr>
        <w:t>Pour cela, les compétences dispersées sont à rassembler et étoffer, les capacités industrielles à reconstruire en grand. Pour cette raison Empreinte</w:t>
      </w:r>
      <w:r>
        <w:rPr>
          <w:rFonts w:ascii="Times New Roman" w:hAnsi="Times New Roman" w:cs="Times New Roman"/>
        </w:rPr>
        <w:t> </w:t>
      </w:r>
      <w:r w:rsidRPr="00C324E0">
        <w:rPr>
          <w:rFonts w:ascii="Times New Roman" w:hAnsi="Times New Roman" w:cs="Times New Roman"/>
        </w:rPr>
        <w:t>2050 estime qu’on aura besoin d’une vingtaine d’années pour mettre en service la première tête de série. Dans l’intervalle, afin de répondre à la forte croissance du besoin d’électricité pour atteindre la neutralité carbone, il prône un déploiement important et industriellement faisable de toutes les énergies décarbonées : réacteurs EPR à neutrons lents, capacités éoliennes et solaires.</w:t>
      </w:r>
    </w:p>
    <w:p w14:paraId="68F0DFE8" w14:textId="77777777" w:rsidR="007C5382" w:rsidRPr="00C324E0" w:rsidRDefault="007C5382" w:rsidP="007C5382">
      <w:pPr>
        <w:spacing w:before="120" w:after="0" w:line="360" w:lineRule="auto"/>
        <w:jc w:val="both"/>
        <w:rPr>
          <w:rFonts w:ascii="Times New Roman" w:hAnsi="Times New Roman" w:cs="Times New Roman"/>
        </w:rPr>
      </w:pPr>
      <w:r w:rsidRPr="00C324E0">
        <w:rPr>
          <w:rFonts w:ascii="Times New Roman" w:hAnsi="Times New Roman" w:cs="Times New Roman"/>
        </w:rPr>
        <w:t>La donne aurait pu être différente si l’exploitation de Superphénix avait été poursuivie et la filière française à neutrons rapides développée. La France aurait gagné vingt ans. Mais on ne refait pas le passé, même le pire.</w:t>
      </w:r>
    </w:p>
    <w:p w14:paraId="7BCAAC82" w14:textId="77777777" w:rsidR="007C5382" w:rsidRPr="00C324E0" w:rsidRDefault="007C5382" w:rsidP="007C5382">
      <w:pPr>
        <w:spacing w:before="120" w:after="0" w:line="360" w:lineRule="auto"/>
        <w:jc w:val="both"/>
        <w:rPr>
          <w:rFonts w:ascii="Times New Roman" w:hAnsi="Times New Roman" w:cs="Times New Roman"/>
        </w:rPr>
      </w:pPr>
    </w:p>
    <w:p w14:paraId="2948E047" w14:textId="77777777" w:rsidR="007C5382" w:rsidRPr="00C324E0" w:rsidRDefault="007C5382" w:rsidP="007C5382">
      <w:pPr>
        <w:spacing w:before="120" w:after="0" w:line="360" w:lineRule="auto"/>
        <w:rPr>
          <w:rFonts w:ascii="Times New Roman" w:hAnsi="Times New Roman" w:cs="Times New Roman"/>
          <w:b/>
          <w:color w:val="FF0000"/>
        </w:rPr>
      </w:pPr>
      <w:r w:rsidRPr="00C324E0">
        <w:rPr>
          <w:rFonts w:ascii="Times New Roman" w:hAnsi="Times New Roman" w:cs="Times New Roman"/>
          <w:b/>
          <w:color w:val="FF0000"/>
        </w:rPr>
        <w:t>((((ENCADRÉ 2))))</w:t>
      </w:r>
    </w:p>
    <w:p w14:paraId="6BD0D0BE" w14:textId="77777777" w:rsidR="007C5382" w:rsidRPr="00C324E0" w:rsidRDefault="007C5382" w:rsidP="007C5382">
      <w:pPr>
        <w:spacing w:before="120" w:after="0" w:line="360" w:lineRule="auto"/>
        <w:jc w:val="both"/>
        <w:rPr>
          <w:rFonts w:ascii="Times New Roman" w:hAnsi="Times New Roman" w:cs="Times New Roman"/>
          <w:b/>
        </w:rPr>
      </w:pPr>
      <w:r w:rsidRPr="00C324E0">
        <w:rPr>
          <w:rFonts w:ascii="Times New Roman" w:hAnsi="Times New Roman" w:cs="Times New Roman"/>
          <w:b/>
        </w:rPr>
        <w:t>LE GOUVERNEMENT VA-T-IL REMETTRE EN SELLE LE NUCL</w:t>
      </w:r>
      <w:r>
        <w:rPr>
          <w:rFonts w:ascii="Times New Roman" w:hAnsi="Times New Roman" w:cs="Times New Roman"/>
          <w:b/>
        </w:rPr>
        <w:t>É</w:t>
      </w:r>
      <w:r w:rsidRPr="00C324E0">
        <w:rPr>
          <w:rFonts w:ascii="Times New Roman" w:hAnsi="Times New Roman" w:cs="Times New Roman"/>
          <w:b/>
        </w:rPr>
        <w:t>AIRE DURABLE ?</w:t>
      </w:r>
    </w:p>
    <w:p w14:paraId="44E4F7C4" w14:textId="77777777" w:rsidR="007C5382" w:rsidRPr="00C324E0" w:rsidRDefault="007C5382" w:rsidP="007C5382">
      <w:pPr>
        <w:spacing w:before="120" w:after="0" w:line="360" w:lineRule="auto"/>
        <w:jc w:val="both"/>
        <w:rPr>
          <w:rFonts w:ascii="Times New Roman" w:hAnsi="Times New Roman" w:cs="Times New Roman"/>
        </w:rPr>
      </w:pPr>
      <w:r w:rsidRPr="00C324E0">
        <w:rPr>
          <w:rFonts w:ascii="Times New Roman" w:hAnsi="Times New Roman" w:cs="Times New Roman"/>
        </w:rPr>
        <w:t xml:space="preserve">Alors que ce dossier était sous presse, le </w:t>
      </w:r>
      <w:r>
        <w:rPr>
          <w:rFonts w:ascii="Times New Roman" w:hAnsi="Times New Roman" w:cs="Times New Roman"/>
        </w:rPr>
        <w:t>C</w:t>
      </w:r>
      <w:r w:rsidRPr="00C324E0">
        <w:rPr>
          <w:rFonts w:ascii="Times New Roman" w:hAnsi="Times New Roman" w:cs="Times New Roman"/>
        </w:rPr>
        <w:t>onseil de politique nucléaire (CPN)</w:t>
      </w:r>
      <w:r>
        <w:rPr>
          <w:rFonts w:ascii="Times New Roman" w:hAnsi="Times New Roman" w:cs="Times New Roman"/>
        </w:rPr>
        <w:t xml:space="preserve"> réuni</w:t>
      </w:r>
      <w:r w:rsidRPr="00C324E0">
        <w:rPr>
          <w:rFonts w:ascii="Times New Roman" w:hAnsi="Times New Roman" w:cs="Times New Roman"/>
        </w:rPr>
        <w:t xml:space="preserve"> </w:t>
      </w:r>
      <w:r>
        <w:rPr>
          <w:rFonts w:ascii="Times New Roman" w:hAnsi="Times New Roman" w:cs="Times New Roman"/>
        </w:rPr>
        <w:t>le</w:t>
      </w:r>
      <w:r w:rsidRPr="00C324E0">
        <w:rPr>
          <w:rFonts w:ascii="Times New Roman" w:hAnsi="Times New Roman" w:cs="Times New Roman"/>
        </w:rPr>
        <w:t xml:space="preserve"> 17</w:t>
      </w:r>
      <w:r>
        <w:rPr>
          <w:rFonts w:ascii="Times New Roman" w:hAnsi="Times New Roman" w:cs="Times New Roman"/>
        </w:rPr>
        <w:t> </w:t>
      </w:r>
      <w:r w:rsidRPr="00C324E0">
        <w:rPr>
          <w:rFonts w:ascii="Times New Roman" w:hAnsi="Times New Roman" w:cs="Times New Roman"/>
        </w:rPr>
        <w:t>mars 2025 « </w:t>
      </w:r>
      <w:r w:rsidRPr="00C324E0">
        <w:rPr>
          <w:rFonts w:ascii="Times New Roman" w:hAnsi="Times New Roman" w:cs="Times New Roman"/>
          <w:i/>
        </w:rPr>
        <w:t xml:space="preserve">a confirmé les orientations permettant d’atteindre la fermeture du cycle du combustible nucléaire dans la </w:t>
      </w:r>
      <w:r w:rsidRPr="00C324E0">
        <w:rPr>
          <w:rFonts w:ascii="Times New Roman" w:hAnsi="Times New Roman" w:cs="Times New Roman"/>
          <w:i/>
        </w:rPr>
        <w:lastRenderedPageBreak/>
        <w:t>deuxième moitié du siècle et relancé un programme de travail en ce sens</w:t>
      </w:r>
      <w:r w:rsidRPr="00C324E0">
        <w:rPr>
          <w:rFonts w:ascii="Times New Roman" w:hAnsi="Times New Roman" w:cs="Times New Roman"/>
        </w:rPr>
        <w:t> ». Il a estimé que « </w:t>
      </w:r>
      <w:r w:rsidRPr="00C324E0">
        <w:rPr>
          <w:rFonts w:ascii="Times New Roman" w:hAnsi="Times New Roman" w:cs="Times New Roman"/>
          <w:i/>
        </w:rPr>
        <w:t>des développements technologiques importants sont nécessaires pour fabriquer les combustibles à partir de plutonium et d’uranium appauvri, la maîtrise des réacteurs à neutrons rapides ainsi que le retraitement des combustibles</w:t>
      </w:r>
      <w:r w:rsidRPr="00C324E0">
        <w:rPr>
          <w:rFonts w:ascii="Times New Roman" w:hAnsi="Times New Roman" w:cs="Times New Roman"/>
        </w:rPr>
        <w:t> ». Il a demandé « </w:t>
      </w:r>
      <w:r w:rsidRPr="00C324E0">
        <w:rPr>
          <w:rFonts w:ascii="Times New Roman" w:hAnsi="Times New Roman" w:cs="Times New Roman"/>
          <w:i/>
        </w:rPr>
        <w:t xml:space="preserve">que les industriels (EDF, Framatome, </w:t>
      </w:r>
      <w:proofErr w:type="spellStart"/>
      <w:r w:rsidRPr="00C324E0">
        <w:rPr>
          <w:rFonts w:ascii="Times New Roman" w:hAnsi="Times New Roman" w:cs="Times New Roman"/>
          <w:i/>
        </w:rPr>
        <w:t>Orano</w:t>
      </w:r>
      <w:proofErr w:type="spellEnd"/>
      <w:r w:rsidRPr="00C324E0">
        <w:rPr>
          <w:rFonts w:ascii="Times New Roman" w:hAnsi="Times New Roman" w:cs="Times New Roman"/>
          <w:i/>
        </w:rPr>
        <w:t>), le CEA et l’ensemble des acteurs mobilisés sur les neutrons rapides, remettent à l’État un programme de travail et une proposition d’organisation industrielle pour la fin de l’année 2025, qui sera examiné lors d’un prochain CPN</w:t>
      </w:r>
      <w:r w:rsidRPr="00C324E0">
        <w:rPr>
          <w:rFonts w:ascii="Times New Roman" w:hAnsi="Times New Roman" w:cs="Times New Roman"/>
        </w:rPr>
        <w:t> ». Dans la période qui s’ouvre, il est d’autant plus opportun de nourrir le débat public sur la nécessité de la relance de la filière française du nucléaire durable.</w:t>
      </w:r>
    </w:p>
    <w:p w14:paraId="1F020607" w14:textId="77777777" w:rsidR="007C5382" w:rsidRPr="00C324E0" w:rsidRDefault="007C5382" w:rsidP="007C5382">
      <w:pPr>
        <w:spacing w:before="120" w:after="0" w:line="360" w:lineRule="auto"/>
        <w:jc w:val="both"/>
        <w:rPr>
          <w:rFonts w:ascii="Times New Roman" w:hAnsi="Times New Roman" w:cs="Times New Roman"/>
        </w:rPr>
      </w:pPr>
      <w:r w:rsidRPr="00C324E0">
        <w:rPr>
          <w:rFonts w:ascii="Times New Roman" w:hAnsi="Times New Roman" w:cs="Times New Roman"/>
        </w:rPr>
        <w:t xml:space="preserve"> </w:t>
      </w:r>
    </w:p>
    <w:p w14:paraId="5E3F163A" w14:textId="18CDB50C" w:rsidR="005A0A9B" w:rsidRDefault="005A0A9B" w:rsidP="00394886">
      <w:pPr>
        <w:spacing w:after="0" w:line="360" w:lineRule="auto"/>
        <w:jc w:val="both"/>
      </w:pPr>
    </w:p>
    <w:sectPr w:rsidR="005A0A9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7A354" w14:textId="77777777" w:rsidR="00E90FDB" w:rsidRDefault="00E90FDB" w:rsidP="007255DB">
      <w:pPr>
        <w:spacing w:after="0" w:line="240" w:lineRule="auto"/>
      </w:pPr>
      <w:r>
        <w:separator/>
      </w:r>
    </w:p>
  </w:endnote>
  <w:endnote w:type="continuationSeparator" w:id="0">
    <w:p w14:paraId="7F6C9A09" w14:textId="77777777" w:rsidR="00E90FDB" w:rsidRDefault="00E90FDB" w:rsidP="007255DB">
      <w:pPr>
        <w:spacing w:after="0" w:line="240" w:lineRule="auto"/>
      </w:pPr>
      <w:r>
        <w:continuationSeparator/>
      </w:r>
    </w:p>
  </w:endnote>
  <w:endnote w:type="continuationNotice" w:id="1">
    <w:p w14:paraId="32036160" w14:textId="77777777" w:rsidR="00E90FDB" w:rsidRDefault="00E90F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3253" w14:textId="77777777" w:rsidR="006E7C40" w:rsidRDefault="006E7C4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67670"/>
      <w:docPartObj>
        <w:docPartGallery w:val="Page Numbers (Bottom of Page)"/>
        <w:docPartUnique/>
      </w:docPartObj>
    </w:sdtPr>
    <w:sdtEndPr/>
    <w:sdtContent>
      <w:p w14:paraId="54A166FA" w14:textId="0E5088B0" w:rsidR="006E7C40" w:rsidRDefault="006E7C40">
        <w:pPr>
          <w:pStyle w:val="Pieddepage"/>
          <w:jc w:val="right"/>
        </w:pPr>
        <w:r>
          <w:fldChar w:fldCharType="begin"/>
        </w:r>
        <w:r>
          <w:instrText>PAGE   \* MERGEFORMAT</w:instrText>
        </w:r>
        <w:r>
          <w:fldChar w:fldCharType="separate"/>
        </w:r>
        <w:r w:rsidR="00D9461D">
          <w:rPr>
            <w:noProof/>
          </w:rPr>
          <w:t>9</w:t>
        </w:r>
        <w:r>
          <w:fldChar w:fldCharType="end"/>
        </w:r>
      </w:p>
    </w:sdtContent>
  </w:sdt>
  <w:p w14:paraId="762ECD38" w14:textId="77777777" w:rsidR="006E7C40" w:rsidRDefault="006E7C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9C181" w14:textId="77777777" w:rsidR="006E7C40" w:rsidRDefault="006E7C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BF858" w14:textId="77777777" w:rsidR="00E90FDB" w:rsidRDefault="00E90FDB" w:rsidP="007255DB">
      <w:pPr>
        <w:spacing w:after="0" w:line="240" w:lineRule="auto"/>
      </w:pPr>
      <w:r>
        <w:separator/>
      </w:r>
    </w:p>
  </w:footnote>
  <w:footnote w:type="continuationSeparator" w:id="0">
    <w:p w14:paraId="5945310A" w14:textId="77777777" w:rsidR="00E90FDB" w:rsidRDefault="00E90FDB" w:rsidP="007255DB">
      <w:pPr>
        <w:spacing w:after="0" w:line="240" w:lineRule="auto"/>
      </w:pPr>
      <w:r>
        <w:continuationSeparator/>
      </w:r>
    </w:p>
  </w:footnote>
  <w:footnote w:type="continuationNotice" w:id="1">
    <w:p w14:paraId="50A383BD" w14:textId="77777777" w:rsidR="00E90FDB" w:rsidRDefault="00E90FDB">
      <w:pPr>
        <w:spacing w:after="0" w:line="240" w:lineRule="auto"/>
      </w:pPr>
    </w:p>
  </w:footnote>
  <w:footnote w:id="2">
    <w:p w14:paraId="6F312C00" w14:textId="723D5CA3" w:rsidR="00FB1261" w:rsidRPr="00FD0511" w:rsidRDefault="00FB1261">
      <w:pPr>
        <w:pStyle w:val="Notedebasdepage"/>
        <w:rPr>
          <w:sz w:val="18"/>
          <w:szCs w:val="18"/>
        </w:rPr>
      </w:pPr>
      <w:r w:rsidRPr="00AF09B7">
        <w:rPr>
          <w:rStyle w:val="Appelnotedebasdep"/>
          <w:vertAlign w:val="baseline"/>
        </w:rPr>
        <w:footnoteRef/>
      </w:r>
      <w:r w:rsidR="00AF09B7">
        <w:t>. </w:t>
      </w:r>
      <w:r w:rsidR="0025404F">
        <w:rPr>
          <w:sz w:val="18"/>
          <w:szCs w:val="18"/>
        </w:rPr>
        <w:t>Données AIE 2023.</w:t>
      </w:r>
      <w:r w:rsidRPr="00FD0511">
        <w:rPr>
          <w:sz w:val="18"/>
          <w:szCs w:val="18"/>
        </w:rPr>
        <w:t xml:space="preserve"> L’éolien (70</w:t>
      </w:r>
      <w:r w:rsidR="00562FA3">
        <w:rPr>
          <w:sz w:val="18"/>
          <w:szCs w:val="18"/>
        </w:rPr>
        <w:t> </w:t>
      </w:r>
      <w:r w:rsidRPr="00FD0511">
        <w:rPr>
          <w:sz w:val="18"/>
          <w:szCs w:val="18"/>
        </w:rPr>
        <w:t xml:space="preserve">GW) comprend </w:t>
      </w:r>
      <w:r w:rsidR="00522E2A" w:rsidRPr="00FD0511">
        <w:rPr>
          <w:sz w:val="18"/>
          <w:szCs w:val="18"/>
        </w:rPr>
        <w:t>8</w:t>
      </w:r>
      <w:r w:rsidR="0025404F">
        <w:rPr>
          <w:sz w:val="18"/>
          <w:szCs w:val="18"/>
        </w:rPr>
        <w:t> </w:t>
      </w:r>
      <w:r w:rsidR="00522E2A" w:rsidRPr="00FD0511">
        <w:rPr>
          <w:sz w:val="18"/>
          <w:szCs w:val="18"/>
        </w:rPr>
        <w:t>GW d’éolien en mer.</w:t>
      </w:r>
    </w:p>
  </w:footnote>
  <w:footnote w:id="3">
    <w:p w14:paraId="057B72FE" w14:textId="7CA38100" w:rsidR="004644BD" w:rsidRPr="0065424D" w:rsidRDefault="004644BD" w:rsidP="000F7E66">
      <w:pPr>
        <w:pStyle w:val="Notedebasdepage"/>
        <w:jc w:val="both"/>
        <w:rPr>
          <w:sz w:val="18"/>
          <w:szCs w:val="18"/>
        </w:rPr>
      </w:pPr>
      <w:r w:rsidRPr="00AF09B7">
        <w:rPr>
          <w:rStyle w:val="Appelnotedebasdep"/>
          <w:sz w:val="18"/>
          <w:szCs w:val="18"/>
          <w:vertAlign w:val="baseline"/>
        </w:rPr>
        <w:footnoteRef/>
      </w:r>
      <w:r w:rsidR="00AF09B7">
        <w:rPr>
          <w:sz w:val="18"/>
          <w:szCs w:val="18"/>
        </w:rPr>
        <w:t> </w:t>
      </w:r>
      <w:proofErr w:type="gramStart"/>
      <w:r w:rsidR="00AF09B7">
        <w:rPr>
          <w:sz w:val="18"/>
          <w:szCs w:val="18"/>
        </w:rPr>
        <w:t>.</w:t>
      </w:r>
      <w:r w:rsidRPr="0065424D">
        <w:rPr>
          <w:sz w:val="18"/>
          <w:szCs w:val="18"/>
        </w:rPr>
        <w:t>L’</w:t>
      </w:r>
      <w:r w:rsidR="00E637A6" w:rsidRPr="00E637A6">
        <w:rPr>
          <w:sz w:val="18"/>
          <w:szCs w:val="18"/>
        </w:rPr>
        <w:t>U</w:t>
      </w:r>
      <w:proofErr w:type="gramEnd"/>
      <w:r w:rsidRPr="00E637A6">
        <w:rPr>
          <w:sz w:val="18"/>
          <w:szCs w:val="18"/>
          <w:vertAlign w:val="superscript"/>
        </w:rPr>
        <w:t>235</w:t>
      </w:r>
      <w:r w:rsidRPr="0065424D">
        <w:rPr>
          <w:sz w:val="18"/>
          <w:szCs w:val="18"/>
        </w:rPr>
        <w:t xml:space="preserve"> est dit fissile car </w:t>
      </w:r>
      <w:r w:rsidR="00E230B0" w:rsidRPr="0065424D">
        <w:rPr>
          <w:sz w:val="18"/>
          <w:szCs w:val="18"/>
        </w:rPr>
        <w:t xml:space="preserve">il </w:t>
      </w:r>
      <w:r w:rsidRPr="0065424D">
        <w:rPr>
          <w:sz w:val="18"/>
          <w:szCs w:val="18"/>
        </w:rPr>
        <w:t xml:space="preserve">fissionne sous l’impact </w:t>
      </w:r>
      <w:r w:rsidR="00E637A6">
        <w:rPr>
          <w:sz w:val="18"/>
          <w:szCs w:val="18"/>
        </w:rPr>
        <w:t>d’un</w:t>
      </w:r>
      <w:r w:rsidRPr="0065424D">
        <w:rPr>
          <w:sz w:val="18"/>
          <w:szCs w:val="18"/>
        </w:rPr>
        <w:t xml:space="preserve"> neutron</w:t>
      </w:r>
      <w:r w:rsidR="009E7829" w:rsidRPr="0065424D">
        <w:rPr>
          <w:sz w:val="18"/>
          <w:szCs w:val="18"/>
        </w:rPr>
        <w:t>, quelle qu</w:t>
      </w:r>
      <w:r w:rsidR="00E637A6">
        <w:rPr>
          <w:sz w:val="18"/>
          <w:szCs w:val="18"/>
        </w:rPr>
        <w:t>e</w:t>
      </w:r>
      <w:r w:rsidR="009E7829" w:rsidRPr="0065424D">
        <w:rPr>
          <w:sz w:val="18"/>
          <w:szCs w:val="18"/>
        </w:rPr>
        <w:t xml:space="preserve"> </w:t>
      </w:r>
      <w:r w:rsidR="00E637A6">
        <w:rPr>
          <w:sz w:val="18"/>
          <w:szCs w:val="18"/>
        </w:rPr>
        <w:t xml:space="preserve">soit </w:t>
      </w:r>
      <w:r w:rsidR="009E7829" w:rsidRPr="0065424D">
        <w:rPr>
          <w:sz w:val="18"/>
          <w:szCs w:val="18"/>
        </w:rPr>
        <w:t>l’énergie de celui-ci,</w:t>
      </w:r>
      <w:r w:rsidRPr="0065424D">
        <w:rPr>
          <w:sz w:val="18"/>
          <w:szCs w:val="18"/>
        </w:rPr>
        <w:t xml:space="preserve"> en l</w:t>
      </w:r>
      <w:r w:rsidR="00F4305F">
        <w:rPr>
          <w:sz w:val="18"/>
          <w:szCs w:val="18"/>
        </w:rPr>
        <w:t>ibérant 200</w:t>
      </w:r>
      <w:r w:rsidR="000576DE">
        <w:rPr>
          <w:sz w:val="18"/>
          <w:szCs w:val="18"/>
        </w:rPr>
        <w:t> </w:t>
      </w:r>
      <w:r w:rsidR="00F4305F">
        <w:rPr>
          <w:sz w:val="18"/>
          <w:szCs w:val="18"/>
        </w:rPr>
        <w:t>millions d’électron</w:t>
      </w:r>
      <w:r w:rsidRPr="0065424D">
        <w:rPr>
          <w:sz w:val="18"/>
          <w:szCs w:val="18"/>
        </w:rPr>
        <w:t>volt</w:t>
      </w:r>
      <w:r w:rsidR="00F4305F">
        <w:rPr>
          <w:sz w:val="18"/>
          <w:szCs w:val="18"/>
        </w:rPr>
        <w:t>s</w:t>
      </w:r>
      <w:r w:rsidRPr="0065424D">
        <w:rPr>
          <w:sz w:val="18"/>
          <w:szCs w:val="18"/>
        </w:rPr>
        <w:t xml:space="preserve">. La probabilité de fission est d’autant plus grande que la vitesse du neutron est </w:t>
      </w:r>
      <w:r w:rsidR="009E7829" w:rsidRPr="0065424D">
        <w:rPr>
          <w:sz w:val="18"/>
          <w:szCs w:val="18"/>
        </w:rPr>
        <w:t>faible</w:t>
      </w:r>
      <w:r w:rsidRPr="0065424D">
        <w:rPr>
          <w:sz w:val="18"/>
          <w:szCs w:val="18"/>
        </w:rPr>
        <w:t>.</w:t>
      </w:r>
    </w:p>
  </w:footnote>
  <w:footnote w:id="4">
    <w:p w14:paraId="7969931F" w14:textId="132E34E7" w:rsidR="00394886" w:rsidRPr="0065424D" w:rsidRDefault="00394886" w:rsidP="004460CE">
      <w:pPr>
        <w:pStyle w:val="Notedebasdepage"/>
        <w:jc w:val="both"/>
        <w:rPr>
          <w:sz w:val="18"/>
          <w:szCs w:val="18"/>
        </w:rPr>
      </w:pPr>
      <w:r w:rsidRPr="00AF09B7">
        <w:rPr>
          <w:rStyle w:val="Appelnotedebasdep"/>
          <w:sz w:val="18"/>
          <w:szCs w:val="18"/>
          <w:vertAlign w:val="baseline"/>
        </w:rPr>
        <w:footnoteRef/>
      </w:r>
      <w:r w:rsidR="00AF09B7">
        <w:rPr>
          <w:sz w:val="18"/>
          <w:szCs w:val="18"/>
        </w:rPr>
        <w:t> </w:t>
      </w:r>
      <w:r w:rsidRPr="000576DE">
        <w:rPr>
          <w:sz w:val="18"/>
          <w:szCs w:val="18"/>
        </w:rPr>
        <w:t>L’énergie moyenne du neutron lent</w:t>
      </w:r>
      <w:r w:rsidR="000576DE">
        <w:rPr>
          <w:sz w:val="18"/>
          <w:szCs w:val="18"/>
        </w:rPr>
        <w:t xml:space="preserve"> </w:t>
      </w:r>
      <w:r w:rsidR="000576DE" w:rsidRPr="000576DE">
        <w:rPr>
          <w:sz w:val="18"/>
          <w:szCs w:val="18"/>
        </w:rPr>
        <w:t>(2 à 3 km/s)</w:t>
      </w:r>
      <w:r w:rsidRPr="000576DE">
        <w:rPr>
          <w:sz w:val="18"/>
          <w:szCs w:val="18"/>
        </w:rPr>
        <w:t xml:space="preserve"> est inférieure à 1 eV.</w:t>
      </w:r>
    </w:p>
  </w:footnote>
  <w:footnote w:id="5">
    <w:p w14:paraId="2606C33C" w14:textId="73A08BC0" w:rsidR="00C6659C" w:rsidRPr="00B634BF" w:rsidRDefault="00C6659C" w:rsidP="004460CE">
      <w:pPr>
        <w:pStyle w:val="Notedebasdepage"/>
        <w:jc w:val="both"/>
        <w:rPr>
          <w:sz w:val="18"/>
          <w:szCs w:val="18"/>
        </w:rPr>
      </w:pPr>
      <w:r w:rsidRPr="00AF09B7">
        <w:rPr>
          <w:rStyle w:val="Appelnotedebasdep"/>
          <w:sz w:val="18"/>
          <w:szCs w:val="18"/>
          <w:vertAlign w:val="baseline"/>
        </w:rPr>
        <w:footnoteRef/>
      </w:r>
      <w:r w:rsidR="00AF09B7">
        <w:rPr>
          <w:sz w:val="18"/>
          <w:szCs w:val="18"/>
        </w:rPr>
        <w:t>. </w:t>
      </w:r>
      <w:r w:rsidR="00C87413">
        <w:rPr>
          <w:sz w:val="18"/>
          <w:szCs w:val="18"/>
        </w:rPr>
        <w:t>L’énergie moyenne du neutron rapide</w:t>
      </w:r>
      <w:r w:rsidRPr="00B634BF">
        <w:rPr>
          <w:sz w:val="18"/>
          <w:szCs w:val="18"/>
        </w:rPr>
        <w:t xml:space="preserve"> </w:t>
      </w:r>
      <w:r w:rsidR="000576DE" w:rsidRPr="00B634BF">
        <w:rPr>
          <w:sz w:val="18"/>
          <w:szCs w:val="18"/>
        </w:rPr>
        <w:t>(20 000 km/s)</w:t>
      </w:r>
      <w:r w:rsidR="000576DE">
        <w:rPr>
          <w:sz w:val="18"/>
          <w:szCs w:val="18"/>
        </w:rPr>
        <w:t xml:space="preserve"> </w:t>
      </w:r>
      <w:r w:rsidRPr="00B634BF">
        <w:rPr>
          <w:sz w:val="18"/>
          <w:szCs w:val="18"/>
        </w:rPr>
        <w:t>est de 2</w:t>
      </w:r>
      <w:r w:rsidR="005732C0">
        <w:rPr>
          <w:sz w:val="18"/>
          <w:szCs w:val="18"/>
        </w:rPr>
        <w:t> M</w:t>
      </w:r>
      <w:r w:rsidRPr="00B634BF">
        <w:rPr>
          <w:sz w:val="18"/>
          <w:szCs w:val="18"/>
        </w:rPr>
        <w:t>eV.</w:t>
      </w:r>
    </w:p>
  </w:footnote>
  <w:footnote w:id="6">
    <w:p w14:paraId="5D1975DC" w14:textId="597741A3" w:rsidR="00442C08" w:rsidRPr="005B329F" w:rsidRDefault="00442C08">
      <w:pPr>
        <w:pStyle w:val="Notedebasdepage"/>
        <w:rPr>
          <w:sz w:val="18"/>
          <w:szCs w:val="18"/>
        </w:rPr>
      </w:pPr>
      <w:r w:rsidRPr="00AF09B7">
        <w:rPr>
          <w:rStyle w:val="Appelnotedebasdep"/>
          <w:sz w:val="18"/>
          <w:szCs w:val="18"/>
          <w:vertAlign w:val="baseline"/>
        </w:rPr>
        <w:footnoteRef/>
      </w:r>
      <w:r w:rsidR="00AF09B7">
        <w:rPr>
          <w:sz w:val="18"/>
          <w:szCs w:val="18"/>
        </w:rPr>
        <w:t>. </w:t>
      </w:r>
      <w:hyperlink r:id="rId1" w:history="1">
        <w:r w:rsidRPr="005B329F">
          <w:rPr>
            <w:rStyle w:val="Lienhypertexte"/>
            <w:sz w:val="18"/>
            <w:szCs w:val="18"/>
          </w:rPr>
          <w:t>https://nucleairedurable.fr/un-nucleaire-pour-50-ou-5000-ans.html</w:t>
        </w:r>
      </w:hyperlink>
      <w:r w:rsidRPr="005B329F">
        <w:rPr>
          <w:sz w:val="18"/>
          <w:szCs w:val="18"/>
        </w:rPr>
        <w:t>.</w:t>
      </w:r>
    </w:p>
  </w:footnote>
  <w:footnote w:id="7">
    <w:p w14:paraId="33CAAE8C" w14:textId="26BBB466" w:rsidR="0056716A" w:rsidRPr="00481AD5" w:rsidRDefault="0056716A">
      <w:pPr>
        <w:pStyle w:val="Notedebasdepage"/>
        <w:rPr>
          <w:rFonts w:cstheme="minorHAnsi"/>
          <w:b/>
          <w:color w:val="FF0000"/>
          <w:sz w:val="18"/>
          <w:szCs w:val="18"/>
        </w:rPr>
      </w:pPr>
      <w:r w:rsidRPr="00AF09B7">
        <w:rPr>
          <w:rStyle w:val="Appelnotedebasdep"/>
          <w:sz w:val="18"/>
          <w:szCs w:val="18"/>
          <w:vertAlign w:val="baseline"/>
        </w:rPr>
        <w:footnoteRef/>
      </w:r>
      <w:r w:rsidR="00AF09B7">
        <w:rPr>
          <w:sz w:val="18"/>
          <w:szCs w:val="18"/>
        </w:rPr>
        <w:t>. </w:t>
      </w:r>
      <w:hyperlink r:id="rId2" w:history="1">
        <w:r w:rsidRPr="005B329F">
          <w:rPr>
            <w:rStyle w:val="Lienhypertexte"/>
            <w:rFonts w:cstheme="minorHAnsi"/>
            <w:sz w:val="18"/>
            <w:szCs w:val="18"/>
          </w:rPr>
          <w:t>https://world-nuclear.org/information-library/facts-and-figures/reactor-database-guide.aspx</w:t>
        </w:r>
      </w:hyperlink>
      <w:r w:rsidRPr="005B329F">
        <w:rPr>
          <w:rFonts w:cstheme="minorHAnsi"/>
          <w:sz w:val="18"/>
          <w:szCs w:val="18"/>
        </w:rPr>
        <w:t xml:space="preserve">. </w:t>
      </w:r>
      <w:r w:rsidR="000576DE" w:rsidRPr="00481AD5">
        <w:rPr>
          <w:rFonts w:cstheme="minorHAnsi"/>
          <w:b/>
          <w:color w:val="FF0000"/>
          <w:sz w:val="18"/>
          <w:szCs w:val="18"/>
        </w:rPr>
        <w:t>(((((Je n’ai pas réussi à accéder au contenu de ce site ; Supprimer la note… en supprimant l’appel de note ?))))))</w:t>
      </w:r>
    </w:p>
  </w:footnote>
  <w:footnote w:id="8">
    <w:p w14:paraId="710E52D1" w14:textId="54DBFCC5" w:rsidR="003F4051" w:rsidRPr="0051629A" w:rsidRDefault="003F4051" w:rsidP="0051629A">
      <w:pPr>
        <w:pStyle w:val="Notedebasdepage"/>
        <w:jc w:val="both"/>
        <w:rPr>
          <w:sz w:val="18"/>
          <w:szCs w:val="18"/>
        </w:rPr>
      </w:pPr>
      <w:r w:rsidRPr="00AF09B7">
        <w:rPr>
          <w:rStyle w:val="Appelnotedebasdep"/>
          <w:vertAlign w:val="baseline"/>
        </w:rPr>
        <w:footnoteRef/>
      </w:r>
      <w:r w:rsidR="008658D8">
        <w:t>. </w:t>
      </w:r>
      <w:r w:rsidR="00CA6C40">
        <w:rPr>
          <w:sz w:val="18"/>
          <w:szCs w:val="18"/>
        </w:rPr>
        <w:t xml:space="preserve">Voir </w:t>
      </w:r>
      <w:r w:rsidR="00CA6C40" w:rsidRPr="0051629A">
        <w:rPr>
          <w:sz w:val="18"/>
          <w:szCs w:val="18"/>
        </w:rPr>
        <w:t xml:space="preserve">Jean </w:t>
      </w:r>
      <w:proofErr w:type="spellStart"/>
      <w:r w:rsidR="00CA6C40" w:rsidRPr="0051629A">
        <w:rPr>
          <w:sz w:val="18"/>
          <w:szCs w:val="18"/>
        </w:rPr>
        <w:t>Bussac</w:t>
      </w:r>
      <w:proofErr w:type="spellEnd"/>
      <w:r w:rsidR="00CA6C40" w:rsidRPr="0051629A">
        <w:rPr>
          <w:sz w:val="18"/>
          <w:szCs w:val="18"/>
        </w:rPr>
        <w:t xml:space="preserve"> et Paul Reuss</w:t>
      </w:r>
      <w:r w:rsidR="00CA6C40">
        <w:rPr>
          <w:sz w:val="18"/>
          <w:szCs w:val="18"/>
        </w:rPr>
        <w:t>,</w:t>
      </w:r>
      <w:r w:rsidR="00CA6C40" w:rsidRPr="0051629A">
        <w:rPr>
          <w:sz w:val="18"/>
          <w:szCs w:val="18"/>
        </w:rPr>
        <w:t xml:space="preserve"> </w:t>
      </w:r>
      <w:r w:rsidRPr="00CA6C40">
        <w:rPr>
          <w:i/>
          <w:sz w:val="18"/>
          <w:szCs w:val="18"/>
        </w:rPr>
        <w:t>Traité de neutronique</w:t>
      </w:r>
      <w:r w:rsidRPr="0051629A">
        <w:rPr>
          <w:sz w:val="18"/>
          <w:szCs w:val="18"/>
        </w:rPr>
        <w:t>, Éd. Hermann</w:t>
      </w:r>
      <w:r w:rsidR="00CA6C40">
        <w:rPr>
          <w:sz w:val="18"/>
          <w:szCs w:val="18"/>
        </w:rPr>
        <w:t>.</w:t>
      </w:r>
    </w:p>
  </w:footnote>
  <w:footnote w:id="9">
    <w:p w14:paraId="04D2307B" w14:textId="50D2D173" w:rsidR="005133F5" w:rsidRPr="0051629A" w:rsidRDefault="005133F5" w:rsidP="0051629A">
      <w:pPr>
        <w:pStyle w:val="Notedebasdepage"/>
        <w:jc w:val="both"/>
        <w:rPr>
          <w:rFonts w:cstheme="minorHAnsi"/>
          <w:sz w:val="18"/>
          <w:szCs w:val="18"/>
        </w:rPr>
      </w:pPr>
      <w:r w:rsidRPr="00AF09B7">
        <w:rPr>
          <w:rStyle w:val="Appelnotedebasdep"/>
          <w:rFonts w:cstheme="minorHAnsi"/>
          <w:sz w:val="18"/>
          <w:szCs w:val="18"/>
          <w:vertAlign w:val="baseline"/>
        </w:rPr>
        <w:footnoteRef/>
      </w:r>
      <w:r w:rsidR="00AF09B7">
        <w:rPr>
          <w:rFonts w:cstheme="minorHAnsi"/>
          <w:sz w:val="18"/>
          <w:szCs w:val="18"/>
        </w:rPr>
        <w:t>. </w:t>
      </w:r>
      <w:r w:rsidRPr="0051629A">
        <w:rPr>
          <w:rFonts w:cstheme="minorHAnsi"/>
          <w:sz w:val="18"/>
          <w:szCs w:val="18"/>
        </w:rPr>
        <w:t xml:space="preserve">Un noyau est dit </w:t>
      </w:r>
      <w:r w:rsidR="00CA0B89">
        <w:rPr>
          <w:rFonts w:cstheme="minorHAnsi"/>
          <w:sz w:val="18"/>
          <w:szCs w:val="18"/>
        </w:rPr>
        <w:t>« </w:t>
      </w:r>
      <w:r w:rsidRPr="0051629A">
        <w:rPr>
          <w:rFonts w:cstheme="minorHAnsi"/>
          <w:sz w:val="18"/>
          <w:szCs w:val="18"/>
        </w:rPr>
        <w:t>fertile</w:t>
      </w:r>
      <w:r w:rsidR="00CA0B89">
        <w:rPr>
          <w:rFonts w:cstheme="minorHAnsi"/>
          <w:sz w:val="18"/>
          <w:szCs w:val="18"/>
        </w:rPr>
        <w:t> »</w:t>
      </w:r>
      <w:r w:rsidRPr="0051629A">
        <w:rPr>
          <w:rFonts w:cstheme="minorHAnsi"/>
          <w:sz w:val="18"/>
          <w:szCs w:val="18"/>
        </w:rPr>
        <w:t xml:space="preserve"> s’il se transforme en noyau fissile après avoir capturé un neutron. Par exemple, l’uraniu</w:t>
      </w:r>
      <w:r w:rsidR="00CA6C40">
        <w:rPr>
          <w:rFonts w:cstheme="minorHAnsi"/>
          <w:sz w:val="18"/>
          <w:szCs w:val="18"/>
        </w:rPr>
        <w:t>m </w:t>
      </w:r>
      <w:r w:rsidRPr="0051629A">
        <w:rPr>
          <w:rFonts w:cstheme="minorHAnsi"/>
          <w:sz w:val="18"/>
          <w:szCs w:val="18"/>
        </w:rPr>
        <w:t>238 et le plutonium</w:t>
      </w:r>
      <w:r w:rsidR="00CA6C40">
        <w:rPr>
          <w:rFonts w:cstheme="minorHAnsi"/>
          <w:sz w:val="18"/>
          <w:szCs w:val="18"/>
        </w:rPr>
        <w:t> </w:t>
      </w:r>
      <w:r w:rsidRPr="0051629A">
        <w:rPr>
          <w:rFonts w:cstheme="minorHAnsi"/>
          <w:sz w:val="18"/>
          <w:szCs w:val="18"/>
        </w:rPr>
        <w:t>240 sont fertiles</w:t>
      </w:r>
      <w:r w:rsidR="00CA6C40">
        <w:rPr>
          <w:rFonts w:cstheme="minorHAnsi"/>
          <w:sz w:val="18"/>
          <w:szCs w:val="18"/>
        </w:rPr>
        <w:t> </w:t>
      </w:r>
      <w:r w:rsidRPr="0051629A">
        <w:rPr>
          <w:rFonts w:cstheme="minorHAnsi"/>
          <w:sz w:val="18"/>
          <w:szCs w:val="18"/>
        </w:rPr>
        <w:t>: ils se transforment respectivement en plutonium</w:t>
      </w:r>
      <w:r w:rsidR="00CA6C40">
        <w:rPr>
          <w:rFonts w:cstheme="minorHAnsi"/>
          <w:sz w:val="18"/>
          <w:szCs w:val="18"/>
        </w:rPr>
        <w:t> </w:t>
      </w:r>
      <w:r w:rsidRPr="0051629A">
        <w:rPr>
          <w:rFonts w:cstheme="minorHAnsi"/>
          <w:sz w:val="18"/>
          <w:szCs w:val="18"/>
        </w:rPr>
        <w:t>239 et en plutonium</w:t>
      </w:r>
      <w:r w:rsidR="00CA6C40">
        <w:rPr>
          <w:rFonts w:cstheme="minorHAnsi"/>
          <w:sz w:val="18"/>
          <w:szCs w:val="18"/>
        </w:rPr>
        <w:t> </w:t>
      </w:r>
      <w:r w:rsidRPr="0051629A">
        <w:rPr>
          <w:rFonts w:cstheme="minorHAnsi"/>
          <w:sz w:val="18"/>
          <w:szCs w:val="18"/>
        </w:rPr>
        <w:t>241.</w:t>
      </w:r>
    </w:p>
  </w:footnote>
  <w:footnote w:id="10">
    <w:p w14:paraId="112F60F1" w14:textId="1513849B" w:rsidR="00F43B0C" w:rsidRPr="0051629A" w:rsidRDefault="00F43B0C" w:rsidP="00F43B0C">
      <w:pPr>
        <w:pStyle w:val="Notedebasdepage"/>
        <w:jc w:val="both"/>
        <w:rPr>
          <w:sz w:val="18"/>
          <w:szCs w:val="18"/>
        </w:rPr>
      </w:pPr>
      <w:r w:rsidRPr="00AF09B7">
        <w:rPr>
          <w:rStyle w:val="Appelnotedebasdep"/>
          <w:sz w:val="18"/>
          <w:szCs w:val="18"/>
          <w:vertAlign w:val="baseline"/>
        </w:rPr>
        <w:footnoteRef/>
      </w:r>
      <w:r w:rsidR="00AF09B7">
        <w:rPr>
          <w:sz w:val="18"/>
          <w:szCs w:val="18"/>
        </w:rPr>
        <w:t>. </w:t>
      </w:r>
      <w:r w:rsidR="00CA0B89">
        <w:rPr>
          <w:sz w:val="18"/>
          <w:szCs w:val="18"/>
        </w:rPr>
        <w:t>Voir</w:t>
      </w:r>
      <w:r w:rsidRPr="0051629A">
        <w:rPr>
          <w:sz w:val="18"/>
          <w:szCs w:val="18"/>
        </w:rPr>
        <w:t xml:space="preserve"> Dominique </w:t>
      </w:r>
      <w:proofErr w:type="spellStart"/>
      <w:r w:rsidRPr="0051629A">
        <w:rPr>
          <w:sz w:val="18"/>
          <w:szCs w:val="18"/>
        </w:rPr>
        <w:t>Grenêche</w:t>
      </w:r>
      <w:proofErr w:type="spellEnd"/>
      <w:r w:rsidR="00CA0B89">
        <w:rPr>
          <w:sz w:val="18"/>
          <w:szCs w:val="18"/>
        </w:rPr>
        <w:t>,</w:t>
      </w:r>
      <w:r w:rsidRPr="0051629A">
        <w:rPr>
          <w:sz w:val="18"/>
          <w:szCs w:val="18"/>
        </w:rPr>
        <w:t xml:space="preserve"> </w:t>
      </w:r>
      <w:r w:rsidR="00CA0B89" w:rsidRPr="00CA0B89">
        <w:rPr>
          <w:i/>
          <w:sz w:val="18"/>
          <w:szCs w:val="18"/>
        </w:rPr>
        <w:t>l</w:t>
      </w:r>
      <w:r w:rsidRPr="00CA0B89">
        <w:rPr>
          <w:i/>
          <w:sz w:val="18"/>
          <w:szCs w:val="18"/>
        </w:rPr>
        <w:t xml:space="preserve">es </w:t>
      </w:r>
      <w:r w:rsidR="00CA0B89" w:rsidRPr="00CA0B89">
        <w:rPr>
          <w:i/>
          <w:sz w:val="18"/>
          <w:szCs w:val="18"/>
        </w:rPr>
        <w:t>R</w:t>
      </w:r>
      <w:r w:rsidRPr="00CA0B89">
        <w:rPr>
          <w:i/>
          <w:sz w:val="18"/>
          <w:szCs w:val="18"/>
        </w:rPr>
        <w:t>éacteurs nucléaires surgénérateurs Pourquoi</w:t>
      </w:r>
      <w:r w:rsidR="00CA6C40" w:rsidRPr="00CA0B89">
        <w:rPr>
          <w:i/>
          <w:sz w:val="18"/>
          <w:szCs w:val="18"/>
        </w:rPr>
        <w:t> </w:t>
      </w:r>
      <w:r w:rsidRPr="00CA0B89">
        <w:rPr>
          <w:i/>
          <w:sz w:val="18"/>
          <w:szCs w:val="18"/>
        </w:rPr>
        <w:t>? Comment</w:t>
      </w:r>
      <w:r w:rsidR="00CA6C40" w:rsidRPr="00CA0B89">
        <w:rPr>
          <w:i/>
          <w:sz w:val="18"/>
          <w:szCs w:val="18"/>
        </w:rPr>
        <w:t> </w:t>
      </w:r>
      <w:r w:rsidRPr="00CA0B89">
        <w:rPr>
          <w:i/>
          <w:sz w:val="18"/>
          <w:szCs w:val="18"/>
        </w:rPr>
        <w:t>? Quand</w:t>
      </w:r>
      <w:r w:rsidR="00CA6C40" w:rsidRPr="00CA0B89">
        <w:rPr>
          <w:i/>
          <w:sz w:val="18"/>
          <w:szCs w:val="18"/>
        </w:rPr>
        <w:t> </w:t>
      </w:r>
      <w:r w:rsidRPr="00CA0B89">
        <w:rPr>
          <w:i/>
          <w:sz w:val="18"/>
          <w:szCs w:val="18"/>
        </w:rPr>
        <w:t>?</w:t>
      </w:r>
      <w:r w:rsidR="00CA0B89">
        <w:rPr>
          <w:sz w:val="18"/>
          <w:szCs w:val="18"/>
        </w:rPr>
        <w:t>, PNC France,</w:t>
      </w:r>
      <w:r w:rsidRPr="0051629A">
        <w:rPr>
          <w:sz w:val="18"/>
          <w:szCs w:val="18"/>
        </w:rPr>
        <w:t xml:space="preserve"> p</w:t>
      </w:r>
      <w:r w:rsidR="00CA0B89">
        <w:rPr>
          <w:sz w:val="18"/>
          <w:szCs w:val="18"/>
        </w:rPr>
        <w:t>. </w:t>
      </w:r>
      <w:r w:rsidRPr="0051629A">
        <w:rPr>
          <w:sz w:val="18"/>
          <w:szCs w:val="18"/>
        </w:rPr>
        <w:t>131</w:t>
      </w:r>
      <w:r w:rsidR="00CA0B89">
        <w:rPr>
          <w:sz w:val="18"/>
          <w:szCs w:val="18"/>
        </w:rPr>
        <w:t>.</w:t>
      </w:r>
    </w:p>
    <w:p w14:paraId="61A6C841" w14:textId="77777777" w:rsidR="00F43B0C" w:rsidRDefault="00F43B0C" w:rsidP="00F43B0C">
      <w:pPr>
        <w:pStyle w:val="Notedebasdepage"/>
      </w:pPr>
    </w:p>
  </w:footnote>
  <w:footnote w:id="11">
    <w:p w14:paraId="2F195A5A" w14:textId="6C7B9A49" w:rsidR="003E7ADF" w:rsidRPr="003E7ADF" w:rsidRDefault="009A1512" w:rsidP="002177F3">
      <w:pPr>
        <w:pStyle w:val="Notedebasdepage"/>
        <w:rPr>
          <w:rStyle w:val="Lienhypertexte"/>
          <w:color w:val="auto"/>
          <w:sz w:val="18"/>
          <w:szCs w:val="18"/>
          <w:u w:val="none"/>
        </w:rPr>
      </w:pPr>
      <w:r w:rsidRPr="00AF09B7">
        <w:rPr>
          <w:rStyle w:val="Appelnotedebasdep"/>
          <w:vertAlign w:val="baseline"/>
        </w:rPr>
        <w:footnoteRef/>
      </w:r>
      <w:r w:rsidR="00AF09B7">
        <w:rPr>
          <w:sz w:val="18"/>
          <w:szCs w:val="18"/>
        </w:rPr>
        <w:t>. </w:t>
      </w:r>
      <w:r w:rsidR="002177F3" w:rsidRPr="003E7ADF">
        <w:rPr>
          <w:sz w:val="18"/>
          <w:szCs w:val="18"/>
        </w:rPr>
        <w:t>Voir</w:t>
      </w:r>
      <w:r w:rsidR="0022485E">
        <w:t xml:space="preserve"> </w:t>
      </w:r>
      <w:hyperlink r:id="rId3" w:history="1">
        <w:r w:rsidR="006F4AE9" w:rsidRPr="003E7ADF">
          <w:rPr>
            <w:rStyle w:val="Lienhypertexte"/>
            <w:color w:val="auto"/>
            <w:sz w:val="18"/>
            <w:szCs w:val="18"/>
            <w:u w:val="none"/>
          </w:rPr>
          <w:t>https://www.assemblee-nationale.fr/dyn/16/organes/autres-commissions/commissions-enquete/ce-independance-energetique/</w:t>
        </w:r>
      </w:hyperlink>
      <w:r w:rsidR="002177F3" w:rsidRPr="003E7ADF">
        <w:rPr>
          <w:rStyle w:val="Lienhypertexte"/>
          <w:color w:val="auto"/>
          <w:sz w:val="18"/>
          <w:szCs w:val="18"/>
          <w:u w:val="none"/>
        </w:rPr>
        <w:t xml:space="preserve"> </w:t>
      </w:r>
    </w:p>
    <w:p w14:paraId="3F3F8481" w14:textId="42189447" w:rsidR="002177F3" w:rsidRPr="003A606C" w:rsidRDefault="003E7ADF" w:rsidP="002177F3">
      <w:pPr>
        <w:pStyle w:val="Notedebasdepage"/>
        <w:rPr>
          <w:sz w:val="18"/>
          <w:szCs w:val="18"/>
        </w:rPr>
      </w:pPr>
      <w:r w:rsidRPr="003E7ADF">
        <w:rPr>
          <w:rStyle w:val="Lienhypertexte"/>
          <w:color w:val="auto"/>
          <w:sz w:val="18"/>
          <w:szCs w:val="18"/>
          <w:u w:val="none"/>
        </w:rPr>
        <w:t xml:space="preserve">Voir aussi </w:t>
      </w:r>
      <w:hyperlink r:id="rId4" w:history="1">
        <w:r w:rsidR="002177F3" w:rsidRPr="003E7ADF">
          <w:rPr>
            <w:rStyle w:val="Lienhypertexte"/>
            <w:color w:val="auto"/>
            <w:sz w:val="18"/>
            <w:szCs w:val="18"/>
            <w:u w:val="none"/>
          </w:rPr>
          <w:t>https://www.senat.fr/travaux-parlementaires/structures-temporaires/commissions-denquete/commission-denquete-portant-sur-la-production-la-consommation-et-le-prix-de-lelectricite-aux-horizons-2035-et-2050.html</w:t>
        </w:r>
      </w:hyperlink>
      <w:r>
        <w:rPr>
          <w:rStyle w:val="Lienhypertexte"/>
          <w:color w:val="auto"/>
          <w:sz w:val="18"/>
          <w:szCs w:val="18"/>
          <w:u w:val="none"/>
        </w:rPr>
        <w:t>.</w:t>
      </w:r>
    </w:p>
    <w:p w14:paraId="448B81E5" w14:textId="7FF6F41B" w:rsidR="006F4AE9" w:rsidRPr="003A606C" w:rsidRDefault="006F4AE9">
      <w:pPr>
        <w:pStyle w:val="Notedebasdepage"/>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DE01" w14:textId="77777777" w:rsidR="006E7C40" w:rsidRDefault="006E7C4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D5740" w14:textId="77777777" w:rsidR="006E7C40" w:rsidRDefault="006E7C4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0FBE0" w14:textId="77777777" w:rsidR="006E7C40" w:rsidRDefault="006E7C4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84C"/>
    <w:multiLevelType w:val="hybridMultilevel"/>
    <w:tmpl w:val="E40AFC00"/>
    <w:lvl w:ilvl="0" w:tplc="42922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9A0B21"/>
    <w:multiLevelType w:val="hybridMultilevel"/>
    <w:tmpl w:val="601EB2A8"/>
    <w:lvl w:ilvl="0" w:tplc="429228A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8EE"/>
    <w:rsid w:val="00000978"/>
    <w:rsid w:val="00000BE3"/>
    <w:rsid w:val="00000CE4"/>
    <w:rsid w:val="00010EFA"/>
    <w:rsid w:val="0001375C"/>
    <w:rsid w:val="000171E9"/>
    <w:rsid w:val="0001724E"/>
    <w:rsid w:val="00017C8C"/>
    <w:rsid w:val="00020E0E"/>
    <w:rsid w:val="000223A8"/>
    <w:rsid w:val="00022B95"/>
    <w:rsid w:val="00027FC5"/>
    <w:rsid w:val="000335AA"/>
    <w:rsid w:val="00036C92"/>
    <w:rsid w:val="0004461D"/>
    <w:rsid w:val="0005256A"/>
    <w:rsid w:val="00053C0A"/>
    <w:rsid w:val="00055F77"/>
    <w:rsid w:val="000565BA"/>
    <w:rsid w:val="000576DD"/>
    <w:rsid w:val="000576DE"/>
    <w:rsid w:val="000617BD"/>
    <w:rsid w:val="00061851"/>
    <w:rsid w:val="000619F4"/>
    <w:rsid w:val="00061DB8"/>
    <w:rsid w:val="00063F36"/>
    <w:rsid w:val="00063FA8"/>
    <w:rsid w:val="000648B3"/>
    <w:rsid w:val="00064AB1"/>
    <w:rsid w:val="00075143"/>
    <w:rsid w:val="00084FAB"/>
    <w:rsid w:val="00085E7B"/>
    <w:rsid w:val="00087BFA"/>
    <w:rsid w:val="00091994"/>
    <w:rsid w:val="000A3F23"/>
    <w:rsid w:val="000A5026"/>
    <w:rsid w:val="000A7882"/>
    <w:rsid w:val="000A7D1F"/>
    <w:rsid w:val="000C098B"/>
    <w:rsid w:val="000C64D7"/>
    <w:rsid w:val="000D527E"/>
    <w:rsid w:val="000D58EF"/>
    <w:rsid w:val="000F2D31"/>
    <w:rsid w:val="000F7083"/>
    <w:rsid w:val="000F7E66"/>
    <w:rsid w:val="00101D24"/>
    <w:rsid w:val="0010278A"/>
    <w:rsid w:val="00102B09"/>
    <w:rsid w:val="0010499B"/>
    <w:rsid w:val="00110F1A"/>
    <w:rsid w:val="00110F59"/>
    <w:rsid w:val="00112719"/>
    <w:rsid w:val="00114906"/>
    <w:rsid w:val="0012163B"/>
    <w:rsid w:val="00123FDE"/>
    <w:rsid w:val="00126441"/>
    <w:rsid w:val="001275FE"/>
    <w:rsid w:val="00127872"/>
    <w:rsid w:val="0012799B"/>
    <w:rsid w:val="00130E0F"/>
    <w:rsid w:val="00135B33"/>
    <w:rsid w:val="0014103C"/>
    <w:rsid w:val="00143A17"/>
    <w:rsid w:val="00150C25"/>
    <w:rsid w:val="0015133F"/>
    <w:rsid w:val="001532C4"/>
    <w:rsid w:val="0015548E"/>
    <w:rsid w:val="00164AC7"/>
    <w:rsid w:val="00166DAE"/>
    <w:rsid w:val="00176ACD"/>
    <w:rsid w:val="00180BE9"/>
    <w:rsid w:val="0018463F"/>
    <w:rsid w:val="001872AA"/>
    <w:rsid w:val="001900FD"/>
    <w:rsid w:val="001932CD"/>
    <w:rsid w:val="00195619"/>
    <w:rsid w:val="001A2F72"/>
    <w:rsid w:val="001A3A8F"/>
    <w:rsid w:val="001A3F51"/>
    <w:rsid w:val="001A6E80"/>
    <w:rsid w:val="001A7DD0"/>
    <w:rsid w:val="001B25A1"/>
    <w:rsid w:val="001B4A1F"/>
    <w:rsid w:val="001B70F3"/>
    <w:rsid w:val="001B76D3"/>
    <w:rsid w:val="001C02F6"/>
    <w:rsid w:val="001D53D8"/>
    <w:rsid w:val="001E457C"/>
    <w:rsid w:val="001E537A"/>
    <w:rsid w:val="001F08DF"/>
    <w:rsid w:val="001F34E6"/>
    <w:rsid w:val="00207E68"/>
    <w:rsid w:val="0021201C"/>
    <w:rsid w:val="00213F4B"/>
    <w:rsid w:val="00215998"/>
    <w:rsid w:val="002177F3"/>
    <w:rsid w:val="00222656"/>
    <w:rsid w:val="0022485E"/>
    <w:rsid w:val="00224E88"/>
    <w:rsid w:val="00230473"/>
    <w:rsid w:val="00234F66"/>
    <w:rsid w:val="00235014"/>
    <w:rsid w:val="0023699C"/>
    <w:rsid w:val="00236B9F"/>
    <w:rsid w:val="00236F4D"/>
    <w:rsid w:val="002373AF"/>
    <w:rsid w:val="002426BE"/>
    <w:rsid w:val="00242BCC"/>
    <w:rsid w:val="00244D44"/>
    <w:rsid w:val="002458E8"/>
    <w:rsid w:val="002470A3"/>
    <w:rsid w:val="00250F43"/>
    <w:rsid w:val="002526C0"/>
    <w:rsid w:val="0025404F"/>
    <w:rsid w:val="002546CA"/>
    <w:rsid w:val="00254E4F"/>
    <w:rsid w:val="002620BC"/>
    <w:rsid w:val="0026647E"/>
    <w:rsid w:val="00266580"/>
    <w:rsid w:val="00266DB3"/>
    <w:rsid w:val="002704D1"/>
    <w:rsid w:val="00272F72"/>
    <w:rsid w:val="00273760"/>
    <w:rsid w:val="00275FF4"/>
    <w:rsid w:val="00283918"/>
    <w:rsid w:val="00286126"/>
    <w:rsid w:val="002926A0"/>
    <w:rsid w:val="00292F76"/>
    <w:rsid w:val="002A2E0D"/>
    <w:rsid w:val="002A6EA3"/>
    <w:rsid w:val="002B0E31"/>
    <w:rsid w:val="002B2B94"/>
    <w:rsid w:val="002B3199"/>
    <w:rsid w:val="002B5BC7"/>
    <w:rsid w:val="002B6A36"/>
    <w:rsid w:val="002B70FC"/>
    <w:rsid w:val="002C10D5"/>
    <w:rsid w:val="002C18EE"/>
    <w:rsid w:val="002C4EC5"/>
    <w:rsid w:val="002E35C9"/>
    <w:rsid w:val="002E371E"/>
    <w:rsid w:val="002E4F0D"/>
    <w:rsid w:val="002E67C0"/>
    <w:rsid w:val="002F2211"/>
    <w:rsid w:val="002F3216"/>
    <w:rsid w:val="002F381E"/>
    <w:rsid w:val="002F4A5F"/>
    <w:rsid w:val="002F4D4D"/>
    <w:rsid w:val="0030129C"/>
    <w:rsid w:val="0030242E"/>
    <w:rsid w:val="003104B5"/>
    <w:rsid w:val="00310A61"/>
    <w:rsid w:val="00310AA2"/>
    <w:rsid w:val="0031523A"/>
    <w:rsid w:val="00316329"/>
    <w:rsid w:val="0032411B"/>
    <w:rsid w:val="00325AF8"/>
    <w:rsid w:val="00343DE8"/>
    <w:rsid w:val="00345A49"/>
    <w:rsid w:val="00346F18"/>
    <w:rsid w:val="00350245"/>
    <w:rsid w:val="00352656"/>
    <w:rsid w:val="00352E2B"/>
    <w:rsid w:val="003553B2"/>
    <w:rsid w:val="00363779"/>
    <w:rsid w:val="0036572F"/>
    <w:rsid w:val="00365A26"/>
    <w:rsid w:val="00365EBF"/>
    <w:rsid w:val="00371288"/>
    <w:rsid w:val="00371705"/>
    <w:rsid w:val="003720E9"/>
    <w:rsid w:val="00373E4F"/>
    <w:rsid w:val="003750F4"/>
    <w:rsid w:val="0038194C"/>
    <w:rsid w:val="003854A1"/>
    <w:rsid w:val="00385F15"/>
    <w:rsid w:val="00390370"/>
    <w:rsid w:val="00391BDD"/>
    <w:rsid w:val="003938E9"/>
    <w:rsid w:val="00394886"/>
    <w:rsid w:val="003A1694"/>
    <w:rsid w:val="003A3E50"/>
    <w:rsid w:val="003A606C"/>
    <w:rsid w:val="003B2B18"/>
    <w:rsid w:val="003B5473"/>
    <w:rsid w:val="003B7FA5"/>
    <w:rsid w:val="003C12C7"/>
    <w:rsid w:val="003C4EE0"/>
    <w:rsid w:val="003C758C"/>
    <w:rsid w:val="003D0127"/>
    <w:rsid w:val="003D03E9"/>
    <w:rsid w:val="003D2675"/>
    <w:rsid w:val="003D4E64"/>
    <w:rsid w:val="003D62B1"/>
    <w:rsid w:val="003D6BDA"/>
    <w:rsid w:val="003E7ADF"/>
    <w:rsid w:val="003F4051"/>
    <w:rsid w:val="003F49DC"/>
    <w:rsid w:val="003F540E"/>
    <w:rsid w:val="00402515"/>
    <w:rsid w:val="004030C0"/>
    <w:rsid w:val="00410D15"/>
    <w:rsid w:val="004118AC"/>
    <w:rsid w:val="0042048D"/>
    <w:rsid w:val="00420F35"/>
    <w:rsid w:val="00421ABD"/>
    <w:rsid w:val="00424018"/>
    <w:rsid w:val="004253C9"/>
    <w:rsid w:val="004259B5"/>
    <w:rsid w:val="004268A4"/>
    <w:rsid w:val="00433794"/>
    <w:rsid w:val="00435370"/>
    <w:rsid w:val="00442C08"/>
    <w:rsid w:val="00443184"/>
    <w:rsid w:val="004434FC"/>
    <w:rsid w:val="004460CE"/>
    <w:rsid w:val="0044622A"/>
    <w:rsid w:val="004469D8"/>
    <w:rsid w:val="00451A61"/>
    <w:rsid w:val="00452B31"/>
    <w:rsid w:val="00453497"/>
    <w:rsid w:val="00463B24"/>
    <w:rsid w:val="004644BD"/>
    <w:rsid w:val="00466555"/>
    <w:rsid w:val="00467601"/>
    <w:rsid w:val="004713F0"/>
    <w:rsid w:val="00471B49"/>
    <w:rsid w:val="004752B4"/>
    <w:rsid w:val="00476365"/>
    <w:rsid w:val="00476BCD"/>
    <w:rsid w:val="00477561"/>
    <w:rsid w:val="0048097E"/>
    <w:rsid w:val="00481009"/>
    <w:rsid w:val="00481AD5"/>
    <w:rsid w:val="00483560"/>
    <w:rsid w:val="004879CA"/>
    <w:rsid w:val="00487F68"/>
    <w:rsid w:val="00490925"/>
    <w:rsid w:val="0049242F"/>
    <w:rsid w:val="004A34A3"/>
    <w:rsid w:val="004A7CFC"/>
    <w:rsid w:val="004B1F4E"/>
    <w:rsid w:val="004B4F26"/>
    <w:rsid w:val="004B6D98"/>
    <w:rsid w:val="004D6C8C"/>
    <w:rsid w:val="004D7EE8"/>
    <w:rsid w:val="004F4EC6"/>
    <w:rsid w:val="00500546"/>
    <w:rsid w:val="00501CDD"/>
    <w:rsid w:val="00504902"/>
    <w:rsid w:val="0051065B"/>
    <w:rsid w:val="005109FB"/>
    <w:rsid w:val="0051299D"/>
    <w:rsid w:val="005133F5"/>
    <w:rsid w:val="005135F8"/>
    <w:rsid w:val="00513D15"/>
    <w:rsid w:val="0051629A"/>
    <w:rsid w:val="0051785D"/>
    <w:rsid w:val="00521F83"/>
    <w:rsid w:val="00522E2A"/>
    <w:rsid w:val="00523541"/>
    <w:rsid w:val="005317CA"/>
    <w:rsid w:val="00532B34"/>
    <w:rsid w:val="00533611"/>
    <w:rsid w:val="00536538"/>
    <w:rsid w:val="00536843"/>
    <w:rsid w:val="00537790"/>
    <w:rsid w:val="0055020E"/>
    <w:rsid w:val="005540E0"/>
    <w:rsid w:val="00562FA3"/>
    <w:rsid w:val="00566336"/>
    <w:rsid w:val="0056716A"/>
    <w:rsid w:val="005732C0"/>
    <w:rsid w:val="005854A6"/>
    <w:rsid w:val="00585B38"/>
    <w:rsid w:val="00596366"/>
    <w:rsid w:val="00597EF4"/>
    <w:rsid w:val="005A0A9B"/>
    <w:rsid w:val="005A1E52"/>
    <w:rsid w:val="005A3F5A"/>
    <w:rsid w:val="005A787B"/>
    <w:rsid w:val="005B0D81"/>
    <w:rsid w:val="005B329F"/>
    <w:rsid w:val="005B460A"/>
    <w:rsid w:val="005B717B"/>
    <w:rsid w:val="005C3450"/>
    <w:rsid w:val="005C6F58"/>
    <w:rsid w:val="005D3DFC"/>
    <w:rsid w:val="005E19DF"/>
    <w:rsid w:val="005E1A49"/>
    <w:rsid w:val="005E411D"/>
    <w:rsid w:val="005E4A23"/>
    <w:rsid w:val="005E5064"/>
    <w:rsid w:val="005F2CD4"/>
    <w:rsid w:val="005F5EEF"/>
    <w:rsid w:val="005F6514"/>
    <w:rsid w:val="005F69B2"/>
    <w:rsid w:val="006044DE"/>
    <w:rsid w:val="00610396"/>
    <w:rsid w:val="00610FCB"/>
    <w:rsid w:val="00621FA5"/>
    <w:rsid w:val="00622FEC"/>
    <w:rsid w:val="006403B4"/>
    <w:rsid w:val="00640D00"/>
    <w:rsid w:val="006508F1"/>
    <w:rsid w:val="0065424D"/>
    <w:rsid w:val="00657535"/>
    <w:rsid w:val="00660A7D"/>
    <w:rsid w:val="00664716"/>
    <w:rsid w:val="006672A0"/>
    <w:rsid w:val="00667875"/>
    <w:rsid w:val="006716BA"/>
    <w:rsid w:val="00674F76"/>
    <w:rsid w:val="00683B9F"/>
    <w:rsid w:val="00683C57"/>
    <w:rsid w:val="00691398"/>
    <w:rsid w:val="00694EBB"/>
    <w:rsid w:val="0069561F"/>
    <w:rsid w:val="00695648"/>
    <w:rsid w:val="006A11AE"/>
    <w:rsid w:val="006B1A98"/>
    <w:rsid w:val="006B7311"/>
    <w:rsid w:val="006C13BD"/>
    <w:rsid w:val="006C1F8E"/>
    <w:rsid w:val="006C4C10"/>
    <w:rsid w:val="006C7DCD"/>
    <w:rsid w:val="006D0917"/>
    <w:rsid w:val="006D16FB"/>
    <w:rsid w:val="006D39BD"/>
    <w:rsid w:val="006D5565"/>
    <w:rsid w:val="006E0533"/>
    <w:rsid w:val="006E0C36"/>
    <w:rsid w:val="006E2588"/>
    <w:rsid w:val="006E292A"/>
    <w:rsid w:val="006E3930"/>
    <w:rsid w:val="006E4131"/>
    <w:rsid w:val="006E51EC"/>
    <w:rsid w:val="006E7BE2"/>
    <w:rsid w:val="006E7C40"/>
    <w:rsid w:val="006F17F8"/>
    <w:rsid w:val="006F4A50"/>
    <w:rsid w:val="006F4AE9"/>
    <w:rsid w:val="006F5000"/>
    <w:rsid w:val="006F582D"/>
    <w:rsid w:val="007016F5"/>
    <w:rsid w:val="00703356"/>
    <w:rsid w:val="0071064A"/>
    <w:rsid w:val="00712EC9"/>
    <w:rsid w:val="007158A8"/>
    <w:rsid w:val="0071704F"/>
    <w:rsid w:val="007255DB"/>
    <w:rsid w:val="007270B4"/>
    <w:rsid w:val="00730465"/>
    <w:rsid w:val="00737817"/>
    <w:rsid w:val="0074097A"/>
    <w:rsid w:val="00740D64"/>
    <w:rsid w:val="00747324"/>
    <w:rsid w:val="007543FD"/>
    <w:rsid w:val="00761B0D"/>
    <w:rsid w:val="007628B5"/>
    <w:rsid w:val="007667D1"/>
    <w:rsid w:val="00774364"/>
    <w:rsid w:val="007816F0"/>
    <w:rsid w:val="00782531"/>
    <w:rsid w:val="00790C78"/>
    <w:rsid w:val="007937E3"/>
    <w:rsid w:val="007A42D0"/>
    <w:rsid w:val="007A5D26"/>
    <w:rsid w:val="007B0BA8"/>
    <w:rsid w:val="007B2583"/>
    <w:rsid w:val="007C1646"/>
    <w:rsid w:val="007C5382"/>
    <w:rsid w:val="007C62AB"/>
    <w:rsid w:val="007E0E61"/>
    <w:rsid w:val="007E75AC"/>
    <w:rsid w:val="007F535A"/>
    <w:rsid w:val="007F5FB0"/>
    <w:rsid w:val="007F6215"/>
    <w:rsid w:val="007F622D"/>
    <w:rsid w:val="00801101"/>
    <w:rsid w:val="0080342F"/>
    <w:rsid w:val="00804BE4"/>
    <w:rsid w:val="0081031E"/>
    <w:rsid w:val="00812B14"/>
    <w:rsid w:val="00816807"/>
    <w:rsid w:val="00823223"/>
    <w:rsid w:val="0082759A"/>
    <w:rsid w:val="00834052"/>
    <w:rsid w:val="00834FC7"/>
    <w:rsid w:val="00836261"/>
    <w:rsid w:val="0083758A"/>
    <w:rsid w:val="00841607"/>
    <w:rsid w:val="00844C7B"/>
    <w:rsid w:val="00864CBF"/>
    <w:rsid w:val="008658D8"/>
    <w:rsid w:val="00867DF6"/>
    <w:rsid w:val="00876AB8"/>
    <w:rsid w:val="00876DA4"/>
    <w:rsid w:val="00880B0A"/>
    <w:rsid w:val="00886785"/>
    <w:rsid w:val="00886DBB"/>
    <w:rsid w:val="008936BA"/>
    <w:rsid w:val="00895857"/>
    <w:rsid w:val="0089664F"/>
    <w:rsid w:val="008979D7"/>
    <w:rsid w:val="008A4F8C"/>
    <w:rsid w:val="008A55BD"/>
    <w:rsid w:val="008B14D1"/>
    <w:rsid w:val="008B1709"/>
    <w:rsid w:val="008B55B5"/>
    <w:rsid w:val="008C0318"/>
    <w:rsid w:val="008C15E5"/>
    <w:rsid w:val="008C47B2"/>
    <w:rsid w:val="008C51F4"/>
    <w:rsid w:val="008C59E7"/>
    <w:rsid w:val="008C6567"/>
    <w:rsid w:val="008C6A00"/>
    <w:rsid w:val="008D2160"/>
    <w:rsid w:val="008E47A3"/>
    <w:rsid w:val="008E4DEA"/>
    <w:rsid w:val="008E7CC9"/>
    <w:rsid w:val="008F5341"/>
    <w:rsid w:val="008F737E"/>
    <w:rsid w:val="0090031F"/>
    <w:rsid w:val="00903E94"/>
    <w:rsid w:val="00905581"/>
    <w:rsid w:val="00907DEC"/>
    <w:rsid w:val="00911FFD"/>
    <w:rsid w:val="009157B0"/>
    <w:rsid w:val="009210F3"/>
    <w:rsid w:val="009237D9"/>
    <w:rsid w:val="00924DFE"/>
    <w:rsid w:val="00925782"/>
    <w:rsid w:val="009268E4"/>
    <w:rsid w:val="009305C2"/>
    <w:rsid w:val="0093396C"/>
    <w:rsid w:val="00935E6A"/>
    <w:rsid w:val="00950001"/>
    <w:rsid w:val="00951882"/>
    <w:rsid w:val="00962D0C"/>
    <w:rsid w:val="00964391"/>
    <w:rsid w:val="0096552C"/>
    <w:rsid w:val="00980867"/>
    <w:rsid w:val="009815E9"/>
    <w:rsid w:val="00982665"/>
    <w:rsid w:val="00987D1D"/>
    <w:rsid w:val="009949BC"/>
    <w:rsid w:val="009958F6"/>
    <w:rsid w:val="009A1512"/>
    <w:rsid w:val="009A39D5"/>
    <w:rsid w:val="009B0A10"/>
    <w:rsid w:val="009B190B"/>
    <w:rsid w:val="009B6D59"/>
    <w:rsid w:val="009C00D9"/>
    <w:rsid w:val="009C2644"/>
    <w:rsid w:val="009C5189"/>
    <w:rsid w:val="009D4C51"/>
    <w:rsid w:val="009D555F"/>
    <w:rsid w:val="009D692C"/>
    <w:rsid w:val="009E7829"/>
    <w:rsid w:val="009F0602"/>
    <w:rsid w:val="009F4EFB"/>
    <w:rsid w:val="009F5085"/>
    <w:rsid w:val="009F6E84"/>
    <w:rsid w:val="00A00C1A"/>
    <w:rsid w:val="00A102C3"/>
    <w:rsid w:val="00A14368"/>
    <w:rsid w:val="00A1535E"/>
    <w:rsid w:val="00A15B0D"/>
    <w:rsid w:val="00A20C9C"/>
    <w:rsid w:val="00A23E3A"/>
    <w:rsid w:val="00A314D9"/>
    <w:rsid w:val="00A32D9B"/>
    <w:rsid w:val="00A33761"/>
    <w:rsid w:val="00A34833"/>
    <w:rsid w:val="00A34EC8"/>
    <w:rsid w:val="00A374A3"/>
    <w:rsid w:val="00A4281B"/>
    <w:rsid w:val="00A456A8"/>
    <w:rsid w:val="00A512D5"/>
    <w:rsid w:val="00A5408E"/>
    <w:rsid w:val="00A543D2"/>
    <w:rsid w:val="00A55184"/>
    <w:rsid w:val="00A55421"/>
    <w:rsid w:val="00A55966"/>
    <w:rsid w:val="00A55967"/>
    <w:rsid w:val="00A56F39"/>
    <w:rsid w:val="00A56FEF"/>
    <w:rsid w:val="00A60886"/>
    <w:rsid w:val="00A628BC"/>
    <w:rsid w:val="00A713F8"/>
    <w:rsid w:val="00A722A5"/>
    <w:rsid w:val="00A745BD"/>
    <w:rsid w:val="00A75D25"/>
    <w:rsid w:val="00A801DB"/>
    <w:rsid w:val="00A87F48"/>
    <w:rsid w:val="00A917E9"/>
    <w:rsid w:val="00A91856"/>
    <w:rsid w:val="00A92D12"/>
    <w:rsid w:val="00A93835"/>
    <w:rsid w:val="00A97CE5"/>
    <w:rsid w:val="00AA3807"/>
    <w:rsid w:val="00AA48F0"/>
    <w:rsid w:val="00AC2F4C"/>
    <w:rsid w:val="00AC4929"/>
    <w:rsid w:val="00AC4B90"/>
    <w:rsid w:val="00AC6A92"/>
    <w:rsid w:val="00AD044F"/>
    <w:rsid w:val="00AD0547"/>
    <w:rsid w:val="00AD779B"/>
    <w:rsid w:val="00AD7CC0"/>
    <w:rsid w:val="00AE0D13"/>
    <w:rsid w:val="00AE2FCA"/>
    <w:rsid w:val="00AF09B7"/>
    <w:rsid w:val="00AF150A"/>
    <w:rsid w:val="00AF2AB0"/>
    <w:rsid w:val="00AF7D10"/>
    <w:rsid w:val="00B0638D"/>
    <w:rsid w:val="00B11962"/>
    <w:rsid w:val="00B15820"/>
    <w:rsid w:val="00B16018"/>
    <w:rsid w:val="00B23DF8"/>
    <w:rsid w:val="00B32435"/>
    <w:rsid w:val="00B329B8"/>
    <w:rsid w:val="00B32A3A"/>
    <w:rsid w:val="00B35E3F"/>
    <w:rsid w:val="00B42044"/>
    <w:rsid w:val="00B44C1A"/>
    <w:rsid w:val="00B50A27"/>
    <w:rsid w:val="00B527A7"/>
    <w:rsid w:val="00B547CB"/>
    <w:rsid w:val="00B60028"/>
    <w:rsid w:val="00B61D4E"/>
    <w:rsid w:val="00B634BF"/>
    <w:rsid w:val="00B6677E"/>
    <w:rsid w:val="00B70A48"/>
    <w:rsid w:val="00B711DD"/>
    <w:rsid w:val="00B72B08"/>
    <w:rsid w:val="00B72F60"/>
    <w:rsid w:val="00B73DED"/>
    <w:rsid w:val="00B75546"/>
    <w:rsid w:val="00B76173"/>
    <w:rsid w:val="00B86F7E"/>
    <w:rsid w:val="00B87E1C"/>
    <w:rsid w:val="00B93BA6"/>
    <w:rsid w:val="00B97954"/>
    <w:rsid w:val="00B97C49"/>
    <w:rsid w:val="00BA1B8B"/>
    <w:rsid w:val="00BA4A17"/>
    <w:rsid w:val="00BA4EAB"/>
    <w:rsid w:val="00BA6607"/>
    <w:rsid w:val="00BA7636"/>
    <w:rsid w:val="00BB5010"/>
    <w:rsid w:val="00BB59B7"/>
    <w:rsid w:val="00BB62F4"/>
    <w:rsid w:val="00BC1D1B"/>
    <w:rsid w:val="00BC38BD"/>
    <w:rsid w:val="00BC5838"/>
    <w:rsid w:val="00BC5D3E"/>
    <w:rsid w:val="00BD0F3C"/>
    <w:rsid w:val="00BD13C6"/>
    <w:rsid w:val="00BD2F11"/>
    <w:rsid w:val="00BE02BF"/>
    <w:rsid w:val="00BE2DBB"/>
    <w:rsid w:val="00BE374A"/>
    <w:rsid w:val="00BE451B"/>
    <w:rsid w:val="00BE56C7"/>
    <w:rsid w:val="00BE6FF1"/>
    <w:rsid w:val="00BE73CD"/>
    <w:rsid w:val="00C0058F"/>
    <w:rsid w:val="00C02B47"/>
    <w:rsid w:val="00C03C20"/>
    <w:rsid w:val="00C073AB"/>
    <w:rsid w:val="00C07615"/>
    <w:rsid w:val="00C1546F"/>
    <w:rsid w:val="00C15D42"/>
    <w:rsid w:val="00C1732A"/>
    <w:rsid w:val="00C210A4"/>
    <w:rsid w:val="00C22AD6"/>
    <w:rsid w:val="00C30EED"/>
    <w:rsid w:val="00C31101"/>
    <w:rsid w:val="00C34D74"/>
    <w:rsid w:val="00C3684F"/>
    <w:rsid w:val="00C400E3"/>
    <w:rsid w:val="00C42A04"/>
    <w:rsid w:val="00C449A7"/>
    <w:rsid w:val="00C47FB0"/>
    <w:rsid w:val="00C50A58"/>
    <w:rsid w:val="00C52225"/>
    <w:rsid w:val="00C5709D"/>
    <w:rsid w:val="00C64A6F"/>
    <w:rsid w:val="00C6659C"/>
    <w:rsid w:val="00C66DCB"/>
    <w:rsid w:val="00C87413"/>
    <w:rsid w:val="00C90D2F"/>
    <w:rsid w:val="00C913A2"/>
    <w:rsid w:val="00C93FF0"/>
    <w:rsid w:val="00C971C1"/>
    <w:rsid w:val="00CA0B89"/>
    <w:rsid w:val="00CA236E"/>
    <w:rsid w:val="00CA5AE4"/>
    <w:rsid w:val="00CA6C40"/>
    <w:rsid w:val="00CB0156"/>
    <w:rsid w:val="00CB139C"/>
    <w:rsid w:val="00CB1853"/>
    <w:rsid w:val="00CB504F"/>
    <w:rsid w:val="00CB70AE"/>
    <w:rsid w:val="00CB74B9"/>
    <w:rsid w:val="00CC0011"/>
    <w:rsid w:val="00CD5C01"/>
    <w:rsid w:val="00CD66A4"/>
    <w:rsid w:val="00CE011D"/>
    <w:rsid w:val="00CE64D4"/>
    <w:rsid w:val="00CE6C95"/>
    <w:rsid w:val="00CF17FA"/>
    <w:rsid w:val="00D02F5D"/>
    <w:rsid w:val="00D0355F"/>
    <w:rsid w:val="00D07A93"/>
    <w:rsid w:val="00D132BF"/>
    <w:rsid w:val="00D14CD8"/>
    <w:rsid w:val="00D16788"/>
    <w:rsid w:val="00D207EF"/>
    <w:rsid w:val="00D2125F"/>
    <w:rsid w:val="00D24CEE"/>
    <w:rsid w:val="00D316F7"/>
    <w:rsid w:val="00D379AB"/>
    <w:rsid w:val="00D42A74"/>
    <w:rsid w:val="00D455EB"/>
    <w:rsid w:val="00D50323"/>
    <w:rsid w:val="00D578BE"/>
    <w:rsid w:val="00D635E9"/>
    <w:rsid w:val="00D65062"/>
    <w:rsid w:val="00D70B2E"/>
    <w:rsid w:val="00D7211C"/>
    <w:rsid w:val="00D72127"/>
    <w:rsid w:val="00D75FEE"/>
    <w:rsid w:val="00D77A7F"/>
    <w:rsid w:val="00D80489"/>
    <w:rsid w:val="00D80CAA"/>
    <w:rsid w:val="00D84E30"/>
    <w:rsid w:val="00D853D6"/>
    <w:rsid w:val="00D92C94"/>
    <w:rsid w:val="00D933DA"/>
    <w:rsid w:val="00D9461D"/>
    <w:rsid w:val="00D95616"/>
    <w:rsid w:val="00D96D47"/>
    <w:rsid w:val="00DA1506"/>
    <w:rsid w:val="00DB1864"/>
    <w:rsid w:val="00DB545D"/>
    <w:rsid w:val="00DB73E1"/>
    <w:rsid w:val="00DC1C8C"/>
    <w:rsid w:val="00DC1CD0"/>
    <w:rsid w:val="00DC3C73"/>
    <w:rsid w:val="00DD7704"/>
    <w:rsid w:val="00DD7B2D"/>
    <w:rsid w:val="00DE0BCE"/>
    <w:rsid w:val="00DE3728"/>
    <w:rsid w:val="00DF039A"/>
    <w:rsid w:val="00DF11BC"/>
    <w:rsid w:val="00DF24E8"/>
    <w:rsid w:val="00E06C47"/>
    <w:rsid w:val="00E1009E"/>
    <w:rsid w:val="00E1725B"/>
    <w:rsid w:val="00E22B42"/>
    <w:rsid w:val="00E230B0"/>
    <w:rsid w:val="00E25515"/>
    <w:rsid w:val="00E32DCF"/>
    <w:rsid w:val="00E33610"/>
    <w:rsid w:val="00E4147E"/>
    <w:rsid w:val="00E45F3F"/>
    <w:rsid w:val="00E50D68"/>
    <w:rsid w:val="00E5125D"/>
    <w:rsid w:val="00E5409A"/>
    <w:rsid w:val="00E63755"/>
    <w:rsid w:val="00E637A6"/>
    <w:rsid w:val="00E70AA5"/>
    <w:rsid w:val="00E711D7"/>
    <w:rsid w:val="00E74EEB"/>
    <w:rsid w:val="00E80EB8"/>
    <w:rsid w:val="00E8353D"/>
    <w:rsid w:val="00E8757A"/>
    <w:rsid w:val="00E90FDB"/>
    <w:rsid w:val="00E92083"/>
    <w:rsid w:val="00E92EAC"/>
    <w:rsid w:val="00E9313E"/>
    <w:rsid w:val="00EA32BD"/>
    <w:rsid w:val="00EB34A5"/>
    <w:rsid w:val="00EB48E7"/>
    <w:rsid w:val="00EB74A9"/>
    <w:rsid w:val="00ED335A"/>
    <w:rsid w:val="00ED5081"/>
    <w:rsid w:val="00ED5B16"/>
    <w:rsid w:val="00ED5CCD"/>
    <w:rsid w:val="00ED5DDD"/>
    <w:rsid w:val="00EF0C5B"/>
    <w:rsid w:val="00EF1F70"/>
    <w:rsid w:val="00EF2087"/>
    <w:rsid w:val="00EF5B2B"/>
    <w:rsid w:val="00F009BF"/>
    <w:rsid w:val="00F0763F"/>
    <w:rsid w:val="00F16F75"/>
    <w:rsid w:val="00F21D52"/>
    <w:rsid w:val="00F22DEE"/>
    <w:rsid w:val="00F23C68"/>
    <w:rsid w:val="00F25B14"/>
    <w:rsid w:val="00F26144"/>
    <w:rsid w:val="00F272B8"/>
    <w:rsid w:val="00F30BD3"/>
    <w:rsid w:val="00F30E3D"/>
    <w:rsid w:val="00F32821"/>
    <w:rsid w:val="00F3563E"/>
    <w:rsid w:val="00F4305F"/>
    <w:rsid w:val="00F43B0C"/>
    <w:rsid w:val="00F4721F"/>
    <w:rsid w:val="00F55BC2"/>
    <w:rsid w:val="00F578D0"/>
    <w:rsid w:val="00F61014"/>
    <w:rsid w:val="00F61089"/>
    <w:rsid w:val="00F65A20"/>
    <w:rsid w:val="00F6653E"/>
    <w:rsid w:val="00F74FE3"/>
    <w:rsid w:val="00F769B0"/>
    <w:rsid w:val="00F76E97"/>
    <w:rsid w:val="00F81531"/>
    <w:rsid w:val="00F818CA"/>
    <w:rsid w:val="00F825FC"/>
    <w:rsid w:val="00F94C34"/>
    <w:rsid w:val="00F96FDF"/>
    <w:rsid w:val="00FA1CC2"/>
    <w:rsid w:val="00FA4BB8"/>
    <w:rsid w:val="00FA7365"/>
    <w:rsid w:val="00FB0151"/>
    <w:rsid w:val="00FB1261"/>
    <w:rsid w:val="00FB6A96"/>
    <w:rsid w:val="00FC16DC"/>
    <w:rsid w:val="00FC53DC"/>
    <w:rsid w:val="00FC6A51"/>
    <w:rsid w:val="00FC7B75"/>
    <w:rsid w:val="00FD0511"/>
    <w:rsid w:val="00FD1031"/>
    <w:rsid w:val="00FD1339"/>
    <w:rsid w:val="00FD4552"/>
    <w:rsid w:val="00FD5AC9"/>
    <w:rsid w:val="00FE19C9"/>
    <w:rsid w:val="00FE1B64"/>
    <w:rsid w:val="00FF16C1"/>
    <w:rsid w:val="00FF20CF"/>
    <w:rsid w:val="00FF610C"/>
    <w:rsid w:val="00FF7F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939FA"/>
  <w15:chartTrackingRefBased/>
  <w15:docId w15:val="{9409767A-3A6C-4182-94AA-584CF5EA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rsid w:val="00A314D9"/>
    <w:pPr>
      <w:keepNext/>
      <w:keepLines/>
      <w:spacing w:before="120" w:after="120" w:line="276" w:lineRule="auto"/>
      <w:outlineLvl w:val="1"/>
    </w:pPr>
    <w:rPr>
      <w:rFonts w:ascii="Cambria" w:eastAsiaTheme="majorEastAsia" w:hAnsi="Cambria" w:cstheme="majorBidi"/>
      <w:b/>
      <w:bCs/>
      <w:i/>
      <w:sz w:val="24"/>
      <w:szCs w:val="26"/>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7255DB"/>
    <w:pPr>
      <w:spacing w:after="0" w:line="240" w:lineRule="auto"/>
    </w:pPr>
    <w:rPr>
      <w:sz w:val="20"/>
      <w:szCs w:val="20"/>
    </w:rPr>
  </w:style>
  <w:style w:type="character" w:customStyle="1" w:styleId="NotedebasdepageCar">
    <w:name w:val="Note de bas de page Car"/>
    <w:basedOn w:val="Policepardfaut"/>
    <w:link w:val="Notedebasdepage"/>
    <w:uiPriority w:val="99"/>
    <w:rsid w:val="007255DB"/>
    <w:rPr>
      <w:sz w:val="20"/>
      <w:szCs w:val="20"/>
    </w:rPr>
  </w:style>
  <w:style w:type="character" w:styleId="Appelnotedebasdep">
    <w:name w:val="footnote reference"/>
    <w:basedOn w:val="Policepardfaut"/>
    <w:uiPriority w:val="99"/>
    <w:semiHidden/>
    <w:unhideWhenUsed/>
    <w:rsid w:val="007255DB"/>
    <w:rPr>
      <w:vertAlign w:val="superscript"/>
    </w:rPr>
  </w:style>
  <w:style w:type="paragraph" w:styleId="NormalWeb">
    <w:name w:val="Normal (Web)"/>
    <w:basedOn w:val="Normal"/>
    <w:uiPriority w:val="99"/>
    <w:semiHidden/>
    <w:unhideWhenUsed/>
    <w:rsid w:val="00343DE8"/>
    <w:pPr>
      <w:spacing w:before="100" w:beforeAutospacing="1" w:after="100" w:afterAutospacing="1" w:line="240" w:lineRule="auto"/>
    </w:pPr>
    <w:rPr>
      <w:rFonts w:ascii="Calibri" w:hAnsi="Calibri" w:cs="Calibri"/>
      <w:lang w:eastAsia="fr-FR"/>
    </w:rPr>
  </w:style>
  <w:style w:type="character" w:customStyle="1" w:styleId="Titre2Car">
    <w:name w:val="Titre 2 Car"/>
    <w:basedOn w:val="Policepardfaut"/>
    <w:link w:val="Titre2"/>
    <w:uiPriority w:val="9"/>
    <w:rsid w:val="00A314D9"/>
    <w:rPr>
      <w:rFonts w:ascii="Cambria" w:eastAsiaTheme="majorEastAsia" w:hAnsi="Cambria" w:cstheme="majorBidi"/>
      <w:b/>
      <w:bCs/>
      <w:i/>
      <w:sz w:val="24"/>
      <w:szCs w:val="26"/>
      <w:lang w:bidi="en-US"/>
    </w:rPr>
  </w:style>
  <w:style w:type="character" w:customStyle="1" w:styleId="cf01">
    <w:name w:val="cf01"/>
    <w:basedOn w:val="Policepardfaut"/>
    <w:rsid w:val="006E0C36"/>
    <w:rPr>
      <w:rFonts w:ascii="Segoe UI" w:hAnsi="Segoe UI" w:cs="Segoe UI" w:hint="default"/>
      <w:sz w:val="18"/>
      <w:szCs w:val="18"/>
    </w:rPr>
  </w:style>
  <w:style w:type="character" w:styleId="Lienhypertexte">
    <w:name w:val="Hyperlink"/>
    <w:basedOn w:val="Policepardfaut"/>
    <w:uiPriority w:val="99"/>
    <w:unhideWhenUsed/>
    <w:rsid w:val="005D3DFC"/>
    <w:rPr>
      <w:color w:val="0563C1" w:themeColor="hyperlink"/>
      <w:u w:val="single"/>
    </w:rPr>
  </w:style>
  <w:style w:type="paragraph" w:styleId="En-tte">
    <w:name w:val="header"/>
    <w:basedOn w:val="Normal"/>
    <w:link w:val="En-tteCar"/>
    <w:uiPriority w:val="99"/>
    <w:unhideWhenUsed/>
    <w:rsid w:val="00730465"/>
    <w:pPr>
      <w:tabs>
        <w:tab w:val="center" w:pos="4536"/>
        <w:tab w:val="right" w:pos="9072"/>
      </w:tabs>
      <w:spacing w:after="0" w:line="240" w:lineRule="auto"/>
    </w:pPr>
  </w:style>
  <w:style w:type="character" w:customStyle="1" w:styleId="En-tteCar">
    <w:name w:val="En-tête Car"/>
    <w:basedOn w:val="Policepardfaut"/>
    <w:link w:val="En-tte"/>
    <w:uiPriority w:val="99"/>
    <w:rsid w:val="00730465"/>
  </w:style>
  <w:style w:type="paragraph" w:styleId="Pieddepage">
    <w:name w:val="footer"/>
    <w:basedOn w:val="Normal"/>
    <w:link w:val="PieddepageCar"/>
    <w:uiPriority w:val="99"/>
    <w:unhideWhenUsed/>
    <w:rsid w:val="007304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0465"/>
  </w:style>
  <w:style w:type="paragraph" w:styleId="Rvision">
    <w:name w:val="Revision"/>
    <w:hidden/>
    <w:uiPriority w:val="99"/>
    <w:semiHidden/>
    <w:rsid w:val="00730465"/>
    <w:pPr>
      <w:spacing w:after="0" w:line="240" w:lineRule="auto"/>
    </w:pPr>
  </w:style>
  <w:style w:type="paragraph" w:styleId="Paragraphedeliste">
    <w:name w:val="List Paragraph"/>
    <w:basedOn w:val="Normal"/>
    <w:uiPriority w:val="34"/>
    <w:qFormat/>
    <w:rsid w:val="00C34D74"/>
    <w:pPr>
      <w:ind w:left="720"/>
      <w:contextualSpacing/>
    </w:pPr>
  </w:style>
  <w:style w:type="table" w:styleId="Grilledutableau">
    <w:name w:val="Table Grid"/>
    <w:basedOn w:val="TableauNormal"/>
    <w:uiPriority w:val="39"/>
    <w:rsid w:val="00237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A20C9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2-Accentuation1">
    <w:name w:val="Grid Table 2 Accent 1"/>
    <w:basedOn w:val="TableauNormal"/>
    <w:uiPriority w:val="47"/>
    <w:rsid w:val="00A20C9C"/>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
    <w:name w:val="Unresolved Mention"/>
    <w:basedOn w:val="Policepardfaut"/>
    <w:uiPriority w:val="99"/>
    <w:semiHidden/>
    <w:unhideWhenUsed/>
    <w:rsid w:val="006F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ssemblee-nationale.fr/dyn/16/organes/autres-commissions/commissions-enquete/ce-independance-energetique/" TargetMode="External"/><Relationship Id="rId2" Type="http://schemas.openxmlformats.org/officeDocument/2006/relationships/hyperlink" Target="https://world-nuclear.org/information-library/facts-and-figures/reactor-database-guide.aspx" TargetMode="External"/><Relationship Id="rId1" Type="http://schemas.openxmlformats.org/officeDocument/2006/relationships/hyperlink" Target="https://nucleairedurable.fr/un-nucleaire-pour-50-ou-5000-ans.html" TargetMode="External"/><Relationship Id="rId4" Type="http://schemas.openxmlformats.org/officeDocument/2006/relationships/hyperlink" Target="https://www.senat.fr/travaux-parlementaires/structures-temporaires/commissions-denquete/commission-denquete-portant-sur-la-production-la-consommation-et-le-prix-de-lelectricite-aux-horizons-2035-et-2050.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45863c87cf10dee/Base%20de%20donn&#233;es%20&#233;nergie/Base%20de%20donne&#769;es%20e&#769;nergie%20CK/Synth&#232;se%20taux%20moyens%20d'&#233;miss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ptos" panose="020B0004020202020204" pitchFamily="34" charset="0"/>
                <a:ea typeface="+mn-ea"/>
                <a:cs typeface="+mn-cs"/>
              </a:defRPr>
            </a:pPr>
            <a:r>
              <a:rPr lang="fr-FR" sz="1200" b="1">
                <a:latin typeface="Aptos" panose="020B0004020202020204" pitchFamily="34" charset="0"/>
              </a:rPr>
              <a:t>Evolution des taux moyens d'émission</a:t>
            </a:r>
            <a:r>
              <a:rPr lang="fr-FR" sz="1200" b="1" baseline="0">
                <a:latin typeface="Aptos" panose="020B0004020202020204" pitchFamily="34" charset="0"/>
              </a:rPr>
              <a:t> de CO</a:t>
            </a:r>
            <a:r>
              <a:rPr lang="fr-FR" sz="1200" b="1" baseline="-25000">
                <a:latin typeface="Aptos" panose="020B0004020202020204" pitchFamily="34" charset="0"/>
              </a:rPr>
              <a:t>2</a:t>
            </a:r>
            <a:r>
              <a:rPr lang="fr-FR" sz="1200" b="1" baseline="0">
                <a:latin typeface="Aptos" panose="020B0004020202020204" pitchFamily="34" charset="0"/>
              </a:rPr>
              <a:t>eq/kWh</a:t>
            </a:r>
            <a:endParaRPr lang="fr-FR" sz="1200" b="1">
              <a:latin typeface="Aptos" panose="020B0004020202020204" pitchFamily="34" charset="0"/>
            </a:endParaRPr>
          </a:p>
        </c:rich>
      </c:tx>
      <c:layout>
        <c:manualLayout>
          <c:xMode val="edge"/>
          <c:yMode val="edge"/>
          <c:x val="0.15636723358641832"/>
          <c:y val="1.3683634373289545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Aptos" panose="020B0004020202020204" pitchFamily="34" charset="0"/>
              <a:ea typeface="+mn-ea"/>
              <a:cs typeface="+mn-cs"/>
            </a:defRPr>
          </a:pPr>
          <a:endParaRPr lang="fr-FR"/>
        </a:p>
      </c:txPr>
    </c:title>
    <c:autoTitleDeleted val="0"/>
    <c:plotArea>
      <c:layout/>
      <c:scatterChart>
        <c:scatterStyle val="lineMarker"/>
        <c:varyColors val="0"/>
        <c:ser>
          <c:idx val="0"/>
          <c:order val="0"/>
          <c:tx>
            <c:strRef>
              <c:f>'[Synthèse taux moyens d''émission.xlsx]A publier'!$B$1</c:f>
              <c:strCache>
                <c:ptCount val="1"/>
                <c:pt idx="0">
                  <c:v>Allemagne</c:v>
                </c:pt>
              </c:strCache>
            </c:strRef>
          </c:tx>
          <c:spPr>
            <a:ln w="44450" cap="rnd">
              <a:solidFill>
                <a:srgbClr val="00B050"/>
              </a:solidFill>
              <a:round/>
            </a:ln>
            <a:effectLst/>
          </c:spPr>
          <c:marker>
            <c:symbol val="none"/>
          </c:marker>
          <c:xVal>
            <c:numRef>
              <c:f>'[Synthèse taux moyens d''émission.xlsx]A publier'!$A$2:$A$66</c:f>
              <c:numCache>
                <c:formatCode>General</c:formatCode>
                <c:ptCount val="6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pt idx="64">
                  <c:v>2024</c:v>
                </c:pt>
              </c:numCache>
            </c:numRef>
          </c:xVal>
          <c:yVal>
            <c:numRef>
              <c:f>'[Synthèse taux moyens d''émission.xlsx]A publier'!$B$2:$B$66</c:f>
              <c:numCache>
                <c:formatCode>0</c:formatCode>
                <c:ptCount val="65"/>
                <c:pt idx="0">
                  <c:v>996.48</c:v>
                </c:pt>
                <c:pt idx="1">
                  <c:v>999.7806743974354</c:v>
                </c:pt>
                <c:pt idx="2">
                  <c:v>1005.92</c:v>
                </c:pt>
                <c:pt idx="3">
                  <c:v>1007.43</c:v>
                </c:pt>
                <c:pt idx="4">
                  <c:v>1006.87</c:v>
                </c:pt>
                <c:pt idx="5">
                  <c:v>988.18</c:v>
                </c:pt>
                <c:pt idx="6">
                  <c:v>976.49</c:v>
                </c:pt>
                <c:pt idx="7">
                  <c:v>974.6</c:v>
                </c:pt>
                <c:pt idx="8">
                  <c:v>970.54</c:v>
                </c:pt>
                <c:pt idx="9">
                  <c:v>962.76</c:v>
                </c:pt>
                <c:pt idx="10">
                  <c:v>960.83</c:v>
                </c:pt>
                <c:pt idx="11">
                  <c:v>966.07</c:v>
                </c:pt>
                <c:pt idx="12">
                  <c:v>949.77</c:v>
                </c:pt>
                <c:pt idx="13">
                  <c:v>927.29</c:v>
                </c:pt>
                <c:pt idx="14">
                  <c:v>900.86</c:v>
                </c:pt>
                <c:pt idx="15">
                  <c:v>865.83</c:v>
                </c:pt>
                <c:pt idx="16">
                  <c:v>880.94</c:v>
                </c:pt>
                <c:pt idx="17">
                  <c:v>847.11</c:v>
                </c:pt>
                <c:pt idx="18">
                  <c:v>841.74</c:v>
                </c:pt>
                <c:pt idx="19">
                  <c:v>827.23</c:v>
                </c:pt>
                <c:pt idx="20">
                  <c:v>826.85297501822697</c:v>
                </c:pt>
                <c:pt idx="21">
                  <c:v>822.81349628102998</c:v>
                </c:pt>
                <c:pt idx="22">
                  <c:v>816.56660940080212</c:v>
                </c:pt>
                <c:pt idx="23">
                  <c:v>818.46821566242318</c:v>
                </c:pt>
                <c:pt idx="24">
                  <c:v>780.24747925911061</c:v>
                </c:pt>
                <c:pt idx="25">
                  <c:v>731.38720483709858</c:v>
                </c:pt>
                <c:pt idx="26">
                  <c:v>743.94171515466269</c:v>
                </c:pt>
                <c:pt idx="27">
                  <c:v>721.1241211046115</c:v>
                </c:pt>
                <c:pt idx="28">
                  <c:v>702.91159534937299</c:v>
                </c:pt>
                <c:pt idx="29">
                  <c:v>697.89790998157503</c:v>
                </c:pt>
                <c:pt idx="30">
                  <c:v>706.01017642654983</c:v>
                </c:pt>
                <c:pt idx="31">
                  <c:v>713.71530592020542</c:v>
                </c:pt>
                <c:pt idx="32">
                  <c:v>688.55131331604434</c:v>
                </c:pt>
                <c:pt idx="33">
                  <c:v>689.58506163789718</c:v>
                </c:pt>
                <c:pt idx="34">
                  <c:v>686.04890035319545</c:v>
                </c:pt>
                <c:pt idx="35">
                  <c:v>679.75935431501432</c:v>
                </c:pt>
                <c:pt idx="36">
                  <c:v>673.50131144325917</c:v>
                </c:pt>
                <c:pt idx="37">
                  <c:v>654.05620945564954</c:v>
                </c:pt>
                <c:pt idx="38">
                  <c:v>666.0268764154788</c:v>
                </c:pt>
                <c:pt idx="39">
                  <c:v>644.21056247002502</c:v>
                </c:pt>
                <c:pt idx="40">
                  <c:v>650.64866445459052</c:v>
                </c:pt>
                <c:pt idx="41">
                  <c:v>643.72650558700502</c:v>
                </c:pt>
                <c:pt idx="42">
                  <c:v>648.1150521862553</c:v>
                </c:pt>
                <c:pt idx="43">
                  <c:v>649.74875283920085</c:v>
                </c:pt>
                <c:pt idx="44">
                  <c:v>633.10325906349976</c:v>
                </c:pt>
                <c:pt idx="45">
                  <c:v>622.53070972718433</c:v>
                </c:pt>
                <c:pt idx="46">
                  <c:v>609.62154288071406</c:v>
                </c:pt>
                <c:pt idx="47">
                  <c:v>626.41325325922469</c:v>
                </c:pt>
                <c:pt idx="48">
                  <c:v>595.45908573725512</c:v>
                </c:pt>
                <c:pt idx="49">
                  <c:v>587.24529969523655</c:v>
                </c:pt>
                <c:pt idx="50">
                  <c:v>582.99330795760466</c:v>
                </c:pt>
                <c:pt idx="51">
                  <c:v>593.11849527689742</c:v>
                </c:pt>
                <c:pt idx="52">
                  <c:v>597.43698350857278</c:v>
                </c:pt>
                <c:pt idx="53">
                  <c:v>601.69827631152793</c:v>
                </c:pt>
                <c:pt idx="54">
                  <c:v>579.93184727416565</c:v>
                </c:pt>
                <c:pt idx="55">
                  <c:v>561.58882360558346</c:v>
                </c:pt>
                <c:pt idx="56">
                  <c:v>550.96711398987645</c:v>
                </c:pt>
                <c:pt idx="57">
                  <c:v>517.44839573631907</c:v>
                </c:pt>
                <c:pt idx="58">
                  <c:v>495.72246481452504</c:v>
                </c:pt>
                <c:pt idx="59">
                  <c:v>414.5085962317155</c:v>
                </c:pt>
                <c:pt idx="60">
                  <c:v>367.8515582438103</c:v>
                </c:pt>
                <c:pt idx="61">
                  <c:v>421.43427033749464</c:v>
                </c:pt>
                <c:pt idx="62">
                  <c:v>451.00843705500313</c:v>
                </c:pt>
                <c:pt idx="63">
                  <c:v>391.61374124880513</c:v>
                </c:pt>
                <c:pt idx="64">
                  <c:v>343.07771000165604</c:v>
                </c:pt>
              </c:numCache>
            </c:numRef>
          </c:yVal>
          <c:smooth val="0"/>
          <c:extLst>
            <c:ext xmlns:c16="http://schemas.microsoft.com/office/drawing/2014/chart" uri="{C3380CC4-5D6E-409C-BE32-E72D297353CC}">
              <c16:uniqueId val="{00000000-21F5-49A9-856A-70CFA709D907}"/>
            </c:ext>
          </c:extLst>
        </c:ser>
        <c:ser>
          <c:idx val="1"/>
          <c:order val="1"/>
          <c:tx>
            <c:strRef>
              <c:f>'[Synthèse taux moyens d''émission.xlsx]A publier'!$C$1</c:f>
              <c:strCache>
                <c:ptCount val="1"/>
                <c:pt idx="0">
                  <c:v>France</c:v>
                </c:pt>
              </c:strCache>
            </c:strRef>
          </c:tx>
          <c:spPr>
            <a:ln w="44450" cap="rnd">
              <a:solidFill>
                <a:schemeClr val="accent1"/>
              </a:solidFill>
              <a:round/>
            </a:ln>
            <a:effectLst/>
          </c:spPr>
          <c:marker>
            <c:symbol val="none"/>
          </c:marker>
          <c:xVal>
            <c:numRef>
              <c:f>'[Synthèse taux moyens d''émission.xlsx]A publier'!$A$2:$A$66</c:f>
              <c:numCache>
                <c:formatCode>General</c:formatCode>
                <c:ptCount val="65"/>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pt idx="64">
                  <c:v>2024</c:v>
                </c:pt>
              </c:numCache>
            </c:numRef>
          </c:xVal>
          <c:yVal>
            <c:numRef>
              <c:f>'[Synthèse taux moyens d''émission.xlsx]A publier'!$C$2:$C$66</c:f>
              <c:numCache>
                <c:formatCode>#,##0</c:formatCode>
                <c:ptCount val="65"/>
                <c:pt idx="0">
                  <c:v>441.48497595225092</c:v>
                </c:pt>
                <c:pt idx="1">
                  <c:v>489.16384995743823</c:v>
                </c:pt>
                <c:pt idx="2">
                  <c:v>549.31222227321746</c:v>
                </c:pt>
                <c:pt idx="3">
                  <c:v>496.16344081942339</c:v>
                </c:pt>
                <c:pt idx="4">
                  <c:v>610.33135850355984</c:v>
                </c:pt>
                <c:pt idx="5">
                  <c:v>534.19388982076555</c:v>
                </c:pt>
                <c:pt idx="6">
                  <c:v>500.78797370344631</c:v>
                </c:pt>
                <c:pt idx="7">
                  <c:v>565.73920786065048</c:v>
                </c:pt>
                <c:pt idx="8">
                  <c:v>539.54231902397862</c:v>
                </c:pt>
                <c:pt idx="9">
                  <c:v>550.11862663660168</c:v>
                </c:pt>
                <c:pt idx="10">
                  <c:v>541.81206059037459</c:v>
                </c:pt>
                <c:pt idx="11">
                  <c:v>583.32015970586917</c:v>
                </c:pt>
                <c:pt idx="12">
                  <c:v>576.57141944264345</c:v>
                </c:pt>
                <c:pt idx="13">
                  <c:v>598.38376898546892</c:v>
                </c:pt>
                <c:pt idx="14">
                  <c:v>565.20096833237881</c:v>
                </c:pt>
                <c:pt idx="15">
                  <c:v>524.91752004921898</c:v>
                </c:pt>
                <c:pt idx="16">
                  <c:v>632.77799457876108</c:v>
                </c:pt>
                <c:pt idx="17">
                  <c:v>517.53260693751486</c:v>
                </c:pt>
                <c:pt idx="18">
                  <c:v>532.33031391363954</c:v>
                </c:pt>
                <c:pt idx="19">
                  <c:v>525.19258345150513</c:v>
                </c:pt>
                <c:pt idx="20">
                  <c:v>467.41806267197285</c:v>
                </c:pt>
                <c:pt idx="21">
                  <c:v>343.04421681239336</c:v>
                </c:pt>
                <c:pt idx="22">
                  <c:v>344.98509168019308</c:v>
                </c:pt>
                <c:pt idx="23">
                  <c:v>271.6333115970732</c:v>
                </c:pt>
                <c:pt idx="24">
                  <c:v>203.6291587866842</c:v>
                </c:pt>
                <c:pt idx="25">
                  <c:v>166.7655792371423</c:v>
                </c:pt>
                <c:pt idx="26">
                  <c:v>125.29595344077342</c:v>
                </c:pt>
                <c:pt idx="27">
                  <c:v>112.36148336264277</c:v>
                </c:pt>
                <c:pt idx="28">
                  <c:v>103.62449171262224</c:v>
                </c:pt>
                <c:pt idx="29">
                  <c:v>131.00864308831473</c:v>
                </c:pt>
                <c:pt idx="30">
                  <c:v>115.83269724999374</c:v>
                </c:pt>
                <c:pt idx="31">
                  <c:v>135.35054134965378</c:v>
                </c:pt>
                <c:pt idx="32">
                  <c:v>113.17758953590219</c:v>
                </c:pt>
                <c:pt idx="33">
                  <c:v>77.795856886133137</c:v>
                </c:pt>
                <c:pt idx="34">
                  <c:v>76.182195986877289</c:v>
                </c:pt>
                <c:pt idx="35">
                  <c:v>82.394232951479864</c:v>
                </c:pt>
                <c:pt idx="36">
                  <c:v>88.088357687170827</c:v>
                </c:pt>
                <c:pt idx="37">
                  <c:v>80.100253805080399</c:v>
                </c:pt>
                <c:pt idx="38">
                  <c:v>108.14892293195315</c:v>
                </c:pt>
                <c:pt idx="39">
                  <c:v>98.345991957593384</c:v>
                </c:pt>
                <c:pt idx="40">
                  <c:v>90.641147848216491</c:v>
                </c:pt>
                <c:pt idx="41">
                  <c:v>79.025089567676474</c:v>
                </c:pt>
                <c:pt idx="42">
                  <c:v>85.136299477990462</c:v>
                </c:pt>
                <c:pt idx="43">
                  <c:v>91.038848592352153</c:v>
                </c:pt>
                <c:pt idx="44">
                  <c:v>87.191283378171576</c:v>
                </c:pt>
                <c:pt idx="45">
                  <c:v>96.143583060520626</c:v>
                </c:pt>
                <c:pt idx="46">
                  <c:v>86.909521821745471</c:v>
                </c:pt>
                <c:pt idx="47">
                  <c:v>89.834561783163906</c:v>
                </c:pt>
                <c:pt idx="48">
                  <c:v>85.218472526467963</c:v>
                </c:pt>
                <c:pt idx="49">
                  <c:v>83.90907197223116</c:v>
                </c:pt>
                <c:pt idx="50">
                  <c:v>87.755452191711242</c:v>
                </c:pt>
                <c:pt idx="51">
                  <c:v>71.428422862277955</c:v>
                </c:pt>
                <c:pt idx="52">
                  <c:v>78.869145011151573</c:v>
                </c:pt>
                <c:pt idx="53">
                  <c:v>74.953724618618011</c:v>
                </c:pt>
                <c:pt idx="54">
                  <c:v>49.297441391511491</c:v>
                </c:pt>
                <c:pt idx="55">
                  <c:v>54.859905092157554</c:v>
                </c:pt>
                <c:pt idx="56" formatCode="0">
                  <c:v>66.731106437869983</c:v>
                </c:pt>
                <c:pt idx="57" formatCode="0">
                  <c:v>77.731417078754674</c:v>
                </c:pt>
                <c:pt idx="58" formatCode="0">
                  <c:v>57.657837864997298</c:v>
                </c:pt>
                <c:pt idx="59" formatCode="0">
                  <c:v>53.371435405233647</c:v>
                </c:pt>
                <c:pt idx="60" formatCode="0">
                  <c:v>53.228618624783529</c:v>
                </c:pt>
                <c:pt idx="61" formatCode="0">
                  <c:v>54.522073969896965</c:v>
                </c:pt>
                <c:pt idx="62" formatCode="0">
                  <c:v>72.397733717833788</c:v>
                </c:pt>
                <c:pt idx="63" formatCode="0">
                  <c:v>45.873569124261209</c:v>
                </c:pt>
                <c:pt idx="64" formatCode="0">
                  <c:v>30.959076513712549</c:v>
                </c:pt>
              </c:numCache>
            </c:numRef>
          </c:yVal>
          <c:smooth val="0"/>
          <c:extLst>
            <c:ext xmlns:c16="http://schemas.microsoft.com/office/drawing/2014/chart" uri="{C3380CC4-5D6E-409C-BE32-E72D297353CC}">
              <c16:uniqueId val="{00000001-21F5-49A9-856A-70CFA709D907}"/>
            </c:ext>
          </c:extLst>
        </c:ser>
        <c:dLbls>
          <c:showLegendKey val="0"/>
          <c:showVal val="0"/>
          <c:showCatName val="0"/>
          <c:showSerName val="0"/>
          <c:showPercent val="0"/>
          <c:showBubbleSize val="0"/>
        </c:dLbls>
        <c:axId val="1020943944"/>
        <c:axId val="1020934224"/>
      </c:scatterChart>
      <c:valAx>
        <c:axId val="1020943944"/>
        <c:scaling>
          <c:orientation val="minMax"/>
          <c:max val="2025"/>
          <c:min val="196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ptos" panose="020B0004020202020204" pitchFamily="34" charset="0"/>
                <a:ea typeface="+mn-ea"/>
                <a:cs typeface="+mn-cs"/>
              </a:defRPr>
            </a:pPr>
            <a:endParaRPr lang="fr-FR"/>
          </a:p>
        </c:txPr>
        <c:crossAx val="1020934224"/>
        <c:crosses val="autoZero"/>
        <c:crossBetween val="midCat"/>
      </c:valAx>
      <c:valAx>
        <c:axId val="10209342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1" i="0" u="none" strike="noStrike" kern="1200" baseline="0">
                <a:solidFill>
                  <a:schemeClr val="tx1">
                    <a:lumMod val="65000"/>
                    <a:lumOff val="35000"/>
                  </a:schemeClr>
                </a:solidFill>
                <a:latin typeface="Aptos" panose="020B0004020202020204" pitchFamily="34" charset="0"/>
                <a:ea typeface="+mn-ea"/>
                <a:cs typeface="+mn-cs"/>
              </a:defRPr>
            </a:pPr>
            <a:endParaRPr lang="fr-FR"/>
          </a:p>
        </c:txPr>
        <c:crossAx val="10209439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Aptos" panose="020B0004020202020204" pitchFamily="34"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a:t>Évolution</a:t>
            </a:r>
            <a:r>
              <a:rPr lang="fr-FR" baseline="0"/>
              <a:t> des ressources mondiales d'uranium</a:t>
            </a:r>
            <a:endParaRPr lang="fr-F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areaChart>
        <c:grouping val="stacked"/>
        <c:varyColors val="0"/>
        <c:ser>
          <c:idx val="0"/>
          <c:order val="0"/>
          <c:tx>
            <c:strRef>
              <c:f>'[FQ-CK - Evolution ressouces U.xlsx]Agrégation des données '!$H$3</c:f>
              <c:strCache>
                <c:ptCount val="1"/>
                <c:pt idx="0">
                  <c:v>Ressources identifiées</c:v>
                </c:pt>
              </c:strCache>
            </c:strRef>
          </c:tx>
          <c:spPr>
            <a:solidFill>
              <a:schemeClr val="accent5">
                <a:shade val="65000"/>
              </a:schemeClr>
            </a:solidFill>
            <a:ln>
              <a:noFill/>
            </a:ln>
            <a:effectLst/>
          </c:spPr>
          <c:cat>
            <c:numRef>
              <c:f>'[FQ-CK - Evolution ressouces U.xlsx]Agrégation des données '!$G$4:$G$28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'[FQ-CK - Evolution ressouces U.xlsx]Agrégation des données '!$H$4:$H$28</c:f>
              <c:numCache>
                <c:formatCode>0.0</c:formatCode>
                <c:ptCount val="25"/>
                <c:pt idx="0">
                  <c:v>4.2990000000000004</c:v>
                </c:pt>
                <c:pt idx="1">
                  <c:v>4.1265000000000001</c:v>
                </c:pt>
                <c:pt idx="2">
                  <c:v>3.9540000000000002</c:v>
                </c:pt>
                <c:pt idx="3">
                  <c:v>3.9434999999999998</c:v>
                </c:pt>
                <c:pt idx="4">
                  <c:v>3.9329999999999998</c:v>
                </c:pt>
                <c:pt idx="5">
                  <c:v>4.2605000000000004</c:v>
                </c:pt>
                <c:pt idx="6">
                  <c:v>4.5880000000000001</c:v>
                </c:pt>
                <c:pt idx="7">
                  <c:v>4.6654999999999998</c:v>
                </c:pt>
                <c:pt idx="8">
                  <c:v>4.7430000000000003</c:v>
                </c:pt>
                <c:pt idx="9">
                  <c:v>5.1059999999999999</c:v>
                </c:pt>
                <c:pt idx="10">
                  <c:v>5.4690000000000003</c:v>
                </c:pt>
                <c:pt idx="11">
                  <c:v>5.4364999999999997</c:v>
                </c:pt>
                <c:pt idx="12">
                  <c:v>6.306</c:v>
                </c:pt>
                <c:pt idx="13">
                  <c:v>6.7012999999999998</c:v>
                </c:pt>
                <c:pt idx="14">
                  <c:v>7.0965999999999996</c:v>
                </c:pt>
                <c:pt idx="15">
                  <c:v>7.3658999999999999</c:v>
                </c:pt>
                <c:pt idx="16">
                  <c:v>7.6352000000000002</c:v>
                </c:pt>
                <c:pt idx="17">
                  <c:v>7.6383999999999999</c:v>
                </c:pt>
                <c:pt idx="18">
                  <c:v>7.6416000000000004</c:v>
                </c:pt>
                <c:pt idx="19">
                  <c:v>7.8151000000000002</c:v>
                </c:pt>
                <c:pt idx="20">
                  <c:v>7.9885999999999999</c:v>
                </c:pt>
                <c:pt idx="21">
                  <c:v>8.0295000000000005</c:v>
                </c:pt>
                <c:pt idx="22">
                  <c:v>8.0703999999999994</c:v>
                </c:pt>
                <c:pt idx="23">
                  <c:v>7.9939499999999999</c:v>
                </c:pt>
                <c:pt idx="24">
                  <c:v>7.9175000000000004</c:v>
                </c:pt>
              </c:numCache>
            </c:numRef>
          </c:val>
          <c:extLst>
            <c:ext xmlns:c16="http://schemas.microsoft.com/office/drawing/2014/chart" uri="{C3380CC4-5D6E-409C-BE32-E72D297353CC}">
              <c16:uniqueId val="{00000000-F8DC-48A9-A16C-1B06EBD2E2FE}"/>
            </c:ext>
          </c:extLst>
        </c:ser>
        <c:ser>
          <c:idx val="1"/>
          <c:order val="1"/>
          <c:tx>
            <c:strRef>
              <c:f>'[FQ-CK - Evolution ressouces U.xlsx]Agrégation des données '!$I$3</c:f>
              <c:strCache>
                <c:ptCount val="1"/>
                <c:pt idx="0">
                  <c:v>Ressources non découvertes</c:v>
                </c:pt>
              </c:strCache>
            </c:strRef>
          </c:tx>
          <c:spPr>
            <a:solidFill>
              <a:schemeClr val="accent5"/>
            </a:solidFill>
            <a:ln>
              <a:noFill/>
            </a:ln>
            <a:effectLst/>
          </c:spPr>
          <c:cat>
            <c:numRef>
              <c:f>'[FQ-CK - Evolution ressouces U.xlsx]Agrégation des données '!$G$4:$G$28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'[FQ-CK - Evolution ressouces U.xlsx]Agrégation des données '!$I$4:$I$28</c:f>
              <c:numCache>
                <c:formatCode>0.0</c:formatCode>
                <c:ptCount val="25"/>
                <c:pt idx="0">
                  <c:v>12.5</c:v>
                </c:pt>
                <c:pt idx="1">
                  <c:v>11.9795</c:v>
                </c:pt>
                <c:pt idx="2">
                  <c:v>11.459</c:v>
                </c:pt>
                <c:pt idx="3">
                  <c:v>11.849500000000001</c:v>
                </c:pt>
                <c:pt idx="4">
                  <c:v>12.24</c:v>
                </c:pt>
                <c:pt idx="5">
                  <c:v>11.04</c:v>
                </c:pt>
                <c:pt idx="6">
                  <c:v>9.84</c:v>
                </c:pt>
                <c:pt idx="7">
                  <c:v>9.9700000000000006</c:v>
                </c:pt>
                <c:pt idx="8">
                  <c:v>10.1</c:v>
                </c:pt>
                <c:pt idx="9">
                  <c:v>10.35</c:v>
                </c:pt>
                <c:pt idx="10">
                  <c:v>10.6</c:v>
                </c:pt>
                <c:pt idx="11">
                  <c:v>10.505000000000001</c:v>
                </c:pt>
                <c:pt idx="12">
                  <c:v>10.41</c:v>
                </c:pt>
                <c:pt idx="13">
                  <c:v>10.41</c:v>
                </c:pt>
                <c:pt idx="14">
                  <c:v>10.4366</c:v>
                </c:pt>
                <c:pt idx="15">
                  <c:v>10.4366</c:v>
                </c:pt>
                <c:pt idx="16">
                  <c:v>7.6977000000000002</c:v>
                </c:pt>
                <c:pt idx="17">
                  <c:v>7.6977000000000002</c:v>
                </c:pt>
                <c:pt idx="18">
                  <c:v>7.4226999999999999</c:v>
                </c:pt>
                <c:pt idx="19">
                  <c:v>7.4226999999999999</c:v>
                </c:pt>
                <c:pt idx="20">
                  <c:v>7.5305999999999997</c:v>
                </c:pt>
                <c:pt idx="21">
                  <c:v>7.5305999999999997</c:v>
                </c:pt>
                <c:pt idx="22">
                  <c:v>7.2202999999999999</c:v>
                </c:pt>
                <c:pt idx="23">
                  <c:v>7.2202999999999999</c:v>
                </c:pt>
                <c:pt idx="24">
                  <c:v>7.3655299999999997</c:v>
                </c:pt>
              </c:numCache>
            </c:numRef>
          </c:val>
          <c:extLst>
            <c:ext xmlns:c16="http://schemas.microsoft.com/office/drawing/2014/chart" uri="{C3380CC4-5D6E-409C-BE32-E72D297353CC}">
              <c16:uniqueId val="{00000001-F8DC-48A9-A16C-1B06EBD2E2FE}"/>
            </c:ext>
          </c:extLst>
        </c:ser>
        <c:dLbls>
          <c:showLegendKey val="0"/>
          <c:showVal val="0"/>
          <c:showCatName val="0"/>
          <c:showSerName val="0"/>
          <c:showPercent val="0"/>
          <c:showBubbleSize val="0"/>
        </c:dLbls>
        <c:axId val="408183327"/>
        <c:axId val="1060252879"/>
      </c:areaChart>
      <c:lineChart>
        <c:grouping val="standard"/>
        <c:varyColors val="0"/>
        <c:ser>
          <c:idx val="2"/>
          <c:order val="2"/>
          <c:tx>
            <c:strRef>
              <c:f>'[FQ-CK - Evolution ressouces U.xlsx]Agrégation des données '!$J$3</c:f>
              <c:strCache>
                <c:ptCount val="1"/>
                <c:pt idx="0">
                  <c:v>Investissements de prospection</c:v>
                </c:pt>
              </c:strCache>
            </c:strRef>
          </c:tx>
          <c:spPr>
            <a:ln w="28575" cap="rnd">
              <a:solidFill>
                <a:schemeClr val="accent5">
                  <a:tint val="65000"/>
                </a:schemeClr>
              </a:solidFill>
              <a:round/>
            </a:ln>
            <a:effectLst/>
          </c:spPr>
          <c:marker>
            <c:symbol val="none"/>
          </c:marker>
          <c:cat>
            <c:numRef>
              <c:f>'[FQ-CK - Evolution ressouces U.xlsx]Agrégation des données '!$G$4:$G$28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'[FQ-CK - Evolution ressouces U.xlsx]Agrégation des données '!$J$4:$J$28</c:f>
              <c:numCache>
                <c:formatCode>#,##0</c:formatCode>
                <c:ptCount val="25"/>
                <c:pt idx="0">
                  <c:v>153</c:v>
                </c:pt>
                <c:pt idx="1">
                  <c:v>149.76599999999999</c:v>
                </c:pt>
                <c:pt idx="2">
                  <c:v>110.486</c:v>
                </c:pt>
                <c:pt idx="3">
                  <c:v>126.203</c:v>
                </c:pt>
                <c:pt idx="4">
                  <c:v>99.318000000000012</c:v>
                </c:pt>
                <c:pt idx="5">
                  <c:v>112.009</c:v>
                </c:pt>
                <c:pt idx="6">
                  <c:v>143.03399999999999</c:v>
                </c:pt>
                <c:pt idx="7">
                  <c:v>288.88200000000001</c:v>
                </c:pt>
                <c:pt idx="8">
                  <c:v>584.01900000000001</c:v>
                </c:pt>
                <c:pt idx="9">
                  <c:v>922.73400000000004</c:v>
                </c:pt>
                <c:pt idx="10">
                  <c:v>1687.723</c:v>
                </c:pt>
                <c:pt idx="11">
                  <c:v>2062.1930000000002</c:v>
                </c:pt>
                <c:pt idx="12">
                  <c:v>1964.261</c:v>
                </c:pt>
                <c:pt idx="13">
                  <c:v>1766.645</c:v>
                </c:pt>
                <c:pt idx="14">
                  <c:v>2149.694</c:v>
                </c:pt>
                <c:pt idx="15">
                  <c:v>2102.1779999999999</c:v>
                </c:pt>
                <c:pt idx="16">
                  <c:v>2220.58</c:v>
                </c:pt>
                <c:pt idx="17">
                  <c:v>2920.0010000000002</c:v>
                </c:pt>
                <c:pt idx="18">
                  <c:v>1458.7150000000001</c:v>
                </c:pt>
                <c:pt idx="19">
                  <c:v>1101.8679999999999</c:v>
                </c:pt>
                <c:pt idx="20">
                  <c:v>766.09899999999993</c:v>
                </c:pt>
                <c:pt idx="21">
                  <c:v>568.96400000000006</c:v>
                </c:pt>
                <c:pt idx="22">
                  <c:v>565.29</c:v>
                </c:pt>
                <c:pt idx="23">
                  <c:v>290.46600000000001</c:v>
                </c:pt>
                <c:pt idx="24">
                  <c:v>348.10899999999998</c:v>
                </c:pt>
              </c:numCache>
            </c:numRef>
          </c:val>
          <c:smooth val="0"/>
          <c:extLst>
            <c:ext xmlns:c16="http://schemas.microsoft.com/office/drawing/2014/chart" uri="{C3380CC4-5D6E-409C-BE32-E72D297353CC}">
              <c16:uniqueId val="{00000002-F8DC-48A9-A16C-1B06EBD2E2FE}"/>
            </c:ext>
          </c:extLst>
        </c:ser>
        <c:dLbls>
          <c:showLegendKey val="0"/>
          <c:showVal val="0"/>
          <c:showCatName val="0"/>
          <c:showSerName val="0"/>
          <c:showPercent val="0"/>
          <c:showBubbleSize val="0"/>
        </c:dLbls>
        <c:marker val="1"/>
        <c:smooth val="0"/>
        <c:axId val="1243991360"/>
        <c:axId val="1568859968"/>
      </c:lineChart>
      <c:catAx>
        <c:axId val="40818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060252879"/>
        <c:crosses val="autoZero"/>
        <c:auto val="1"/>
        <c:lblAlgn val="ctr"/>
        <c:lblOffset val="100"/>
        <c:noMultiLvlLbl val="0"/>
      </c:catAx>
      <c:valAx>
        <c:axId val="106025287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Millions</a:t>
                </a:r>
                <a:r>
                  <a:rPr lang="fr-FR" baseline="0"/>
                  <a:t> de tonnes d'uranium</a:t>
                </a:r>
                <a:endParaRPr lang="fr-F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0"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408183327"/>
        <c:crosses val="autoZero"/>
        <c:crossBetween val="midCat"/>
      </c:valAx>
      <c:valAx>
        <c:axId val="156885996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solidFill>
                      <a:sysClr val="windowText" lastClr="000000"/>
                    </a:solidFill>
                  </a:rPr>
                  <a:t>Millions de dollars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1243991360"/>
        <c:crosses val="max"/>
        <c:crossBetween val="between"/>
      </c:valAx>
      <c:catAx>
        <c:axId val="1243991360"/>
        <c:scaling>
          <c:orientation val="minMax"/>
        </c:scaling>
        <c:delete val="1"/>
        <c:axPos val="b"/>
        <c:numFmt formatCode="General" sourceLinked="1"/>
        <c:majorTickMark val="out"/>
        <c:minorTickMark val="none"/>
        <c:tickLblPos val="nextTo"/>
        <c:crossAx val="1568859968"/>
        <c:crosses val="autoZero"/>
        <c:auto val="1"/>
        <c:lblAlgn val="ctr"/>
        <c:lblOffset val="100"/>
        <c:noMultiLvlLbl val="0"/>
      </c:catAx>
      <c:spPr>
        <a:noFill/>
        <a:ln>
          <a:noFill/>
        </a:ln>
        <a:effectLst/>
      </c:spPr>
    </c:plotArea>
    <c:legend>
      <c:legendPos val="b"/>
      <c:layout>
        <c:manualLayout>
          <c:xMode val="edge"/>
          <c:yMode val="edge"/>
          <c:x val="0.26323493008190035"/>
          <c:y val="0.81919171393898327"/>
          <c:w val="0.65413188318015436"/>
          <c:h val="0.164302001312335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000018647757841E-2"/>
          <c:y val="4.9300617083881462E-2"/>
          <c:w val="0.88821904588747014"/>
          <c:h val="0.87677790276215484"/>
        </c:manualLayout>
      </c:layout>
      <c:scatterChart>
        <c:scatterStyle val="lineMarker"/>
        <c:varyColors val="0"/>
        <c:ser>
          <c:idx val="3"/>
          <c:order val="0"/>
          <c:tx>
            <c:strRef>
              <c:f>'[consommation uranium ck -version 2 - fev 24.xlsx]Evolutions 0% - 1,6% - 4,5%'!$G$2</c:f>
              <c:strCache>
                <c:ptCount val="1"/>
                <c:pt idx="0">
                  <c:v> Ressources identifiées</c:v>
                </c:pt>
              </c:strCache>
            </c:strRef>
          </c:tx>
          <c:spPr>
            <a:ln w="50800" cap="rnd" cmpd="sng">
              <a:solidFill>
                <a:srgbClr val="FF0000"/>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fixedVal"/>
            <c:noEndCap val="1"/>
            <c:val val="1000000"/>
            <c:spPr>
              <a:noFill/>
              <a:ln w="152400" cap="flat" cmpd="sng" algn="ctr">
                <a:solidFill>
                  <a:srgbClr val="FF0000"/>
                </a:solidFill>
                <a:round/>
              </a:ln>
              <a:effectLst/>
            </c:spPr>
          </c:errBars>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- 4,5%'!$G$3:$G$83</c:f>
              <c:numCache>
                <c:formatCode>#,##0</c:formatCode>
                <c:ptCount val="81"/>
                <c:pt idx="0">
                  <c:v>7000000</c:v>
                </c:pt>
                <c:pt idx="1">
                  <c:v>7000000</c:v>
                </c:pt>
                <c:pt idx="2">
                  <c:v>7000000</c:v>
                </c:pt>
                <c:pt idx="3">
                  <c:v>7000000</c:v>
                </c:pt>
                <c:pt idx="4">
                  <c:v>7000000</c:v>
                </c:pt>
                <c:pt idx="5">
                  <c:v>7000000</c:v>
                </c:pt>
                <c:pt idx="6">
                  <c:v>7000000</c:v>
                </c:pt>
                <c:pt idx="7">
                  <c:v>7000000</c:v>
                </c:pt>
                <c:pt idx="8">
                  <c:v>7000000</c:v>
                </c:pt>
                <c:pt idx="9">
                  <c:v>7000000</c:v>
                </c:pt>
                <c:pt idx="10">
                  <c:v>7000000</c:v>
                </c:pt>
                <c:pt idx="11">
                  <c:v>7000000</c:v>
                </c:pt>
                <c:pt idx="12">
                  <c:v>7000000</c:v>
                </c:pt>
                <c:pt idx="13">
                  <c:v>7000000</c:v>
                </c:pt>
                <c:pt idx="14">
                  <c:v>7000000</c:v>
                </c:pt>
                <c:pt idx="15">
                  <c:v>7000000</c:v>
                </c:pt>
                <c:pt idx="16">
                  <c:v>7000000</c:v>
                </c:pt>
                <c:pt idx="17">
                  <c:v>7000000</c:v>
                </c:pt>
                <c:pt idx="18">
                  <c:v>7000000</c:v>
                </c:pt>
                <c:pt idx="19">
                  <c:v>7000000</c:v>
                </c:pt>
                <c:pt idx="20">
                  <c:v>7000000</c:v>
                </c:pt>
                <c:pt idx="21">
                  <c:v>7000000</c:v>
                </c:pt>
                <c:pt idx="22">
                  <c:v>7000000</c:v>
                </c:pt>
                <c:pt idx="23">
                  <c:v>7000000</c:v>
                </c:pt>
                <c:pt idx="24">
                  <c:v>7000000</c:v>
                </c:pt>
                <c:pt idx="25">
                  <c:v>7000000</c:v>
                </c:pt>
                <c:pt idx="26">
                  <c:v>7000000</c:v>
                </c:pt>
                <c:pt idx="27">
                  <c:v>7000000</c:v>
                </c:pt>
                <c:pt idx="28">
                  <c:v>7000000</c:v>
                </c:pt>
                <c:pt idx="29">
                  <c:v>7000000</c:v>
                </c:pt>
                <c:pt idx="30">
                  <c:v>7000000</c:v>
                </c:pt>
                <c:pt idx="31">
                  <c:v>7000000</c:v>
                </c:pt>
                <c:pt idx="32">
                  <c:v>7000000</c:v>
                </c:pt>
                <c:pt idx="33">
                  <c:v>7000000</c:v>
                </c:pt>
                <c:pt idx="34">
                  <c:v>7000000</c:v>
                </c:pt>
                <c:pt idx="35">
                  <c:v>7000000</c:v>
                </c:pt>
                <c:pt idx="36">
                  <c:v>7000000</c:v>
                </c:pt>
                <c:pt idx="37">
                  <c:v>7000000</c:v>
                </c:pt>
                <c:pt idx="38">
                  <c:v>7000000</c:v>
                </c:pt>
                <c:pt idx="39">
                  <c:v>7000000</c:v>
                </c:pt>
                <c:pt idx="40">
                  <c:v>7000000</c:v>
                </c:pt>
                <c:pt idx="41">
                  <c:v>7000000</c:v>
                </c:pt>
                <c:pt idx="42">
                  <c:v>7000000</c:v>
                </c:pt>
                <c:pt idx="43">
                  <c:v>7000000</c:v>
                </c:pt>
                <c:pt idx="44">
                  <c:v>7000000</c:v>
                </c:pt>
                <c:pt idx="45">
                  <c:v>7000000</c:v>
                </c:pt>
                <c:pt idx="46">
                  <c:v>7000000</c:v>
                </c:pt>
                <c:pt idx="47">
                  <c:v>7000000</c:v>
                </c:pt>
                <c:pt idx="48">
                  <c:v>7000000</c:v>
                </c:pt>
                <c:pt idx="49">
                  <c:v>7000000</c:v>
                </c:pt>
                <c:pt idx="50">
                  <c:v>7000000</c:v>
                </c:pt>
                <c:pt idx="51">
                  <c:v>7000000</c:v>
                </c:pt>
                <c:pt idx="52">
                  <c:v>7000000</c:v>
                </c:pt>
                <c:pt idx="53">
                  <c:v>7000000</c:v>
                </c:pt>
                <c:pt idx="54">
                  <c:v>7000000</c:v>
                </c:pt>
                <c:pt idx="55">
                  <c:v>7000000</c:v>
                </c:pt>
                <c:pt idx="56">
                  <c:v>7000000</c:v>
                </c:pt>
                <c:pt idx="57">
                  <c:v>7000000</c:v>
                </c:pt>
                <c:pt idx="58">
                  <c:v>7000000</c:v>
                </c:pt>
                <c:pt idx="59">
                  <c:v>7000000</c:v>
                </c:pt>
                <c:pt idx="60">
                  <c:v>7000000</c:v>
                </c:pt>
                <c:pt idx="61">
                  <c:v>7000000</c:v>
                </c:pt>
                <c:pt idx="62">
                  <c:v>7000000</c:v>
                </c:pt>
                <c:pt idx="63">
                  <c:v>7000000</c:v>
                </c:pt>
                <c:pt idx="64">
                  <c:v>7000000</c:v>
                </c:pt>
                <c:pt idx="65">
                  <c:v>7000000</c:v>
                </c:pt>
                <c:pt idx="66">
                  <c:v>7000000</c:v>
                </c:pt>
                <c:pt idx="67">
                  <c:v>7000000</c:v>
                </c:pt>
                <c:pt idx="68">
                  <c:v>7000000</c:v>
                </c:pt>
                <c:pt idx="69">
                  <c:v>7000000</c:v>
                </c:pt>
                <c:pt idx="70">
                  <c:v>7000000</c:v>
                </c:pt>
                <c:pt idx="71">
                  <c:v>7000000</c:v>
                </c:pt>
                <c:pt idx="72">
                  <c:v>7000000</c:v>
                </c:pt>
                <c:pt idx="73">
                  <c:v>7000000</c:v>
                </c:pt>
                <c:pt idx="74">
                  <c:v>7000000</c:v>
                </c:pt>
                <c:pt idx="75">
                  <c:v>7000000</c:v>
                </c:pt>
                <c:pt idx="76">
                  <c:v>7000000</c:v>
                </c:pt>
                <c:pt idx="77">
                  <c:v>7000000</c:v>
                </c:pt>
                <c:pt idx="78">
                  <c:v>7000000</c:v>
                </c:pt>
                <c:pt idx="79">
                  <c:v>7000000</c:v>
                </c:pt>
                <c:pt idx="80">
                  <c:v>7000000</c:v>
                </c:pt>
              </c:numCache>
            </c:numRef>
          </c:yVal>
          <c:smooth val="0"/>
          <c:extLst>
            <c:ext xmlns:c16="http://schemas.microsoft.com/office/drawing/2014/chart" uri="{C3380CC4-5D6E-409C-BE32-E72D297353CC}">
              <c16:uniqueId val="{00000000-1DEA-4EE0-98AF-05AFD8D39401}"/>
            </c:ext>
          </c:extLst>
        </c:ser>
        <c:ser>
          <c:idx val="4"/>
          <c:order val="1"/>
          <c:tx>
            <c:strRef>
              <c:f>'[consommation uranium ck -version 2 - fev 24.xlsx]Evolutions 0% - 1,6% - 4,5%'!$H$2</c:f>
              <c:strCache>
                <c:ptCount val="1"/>
                <c:pt idx="0">
                  <c:v> Réserves ultimes (identifiées et non découvertes)</c:v>
                </c:pt>
              </c:strCache>
            </c:strRef>
          </c:tx>
          <c:spPr>
            <a:ln w="50800" cap="rnd">
              <a:solidFill>
                <a:srgbClr val="FF9900"/>
              </a:solidFill>
              <a:round/>
            </a:ln>
            <a:effectLst/>
          </c:spPr>
          <c:marker>
            <c:symbol val="none"/>
          </c:marker>
          <c:errBars>
            <c:errDir val="x"/>
            <c:errBarType val="both"/>
            <c:errValType val="percentage"/>
            <c:noEndCap val="0"/>
            <c:val val="5"/>
            <c:spPr>
              <a:noFill/>
              <a:ln w="9525" cap="flat" cmpd="sng" algn="ctr">
                <a:solidFill>
                  <a:schemeClr val="tx1">
                    <a:lumMod val="65000"/>
                    <a:lumOff val="35000"/>
                  </a:schemeClr>
                </a:solidFill>
                <a:round/>
              </a:ln>
              <a:effectLst/>
            </c:spPr>
          </c:errBars>
          <c:errBars>
            <c:errDir val="y"/>
            <c:errBarType val="plus"/>
            <c:errValType val="fixedVal"/>
            <c:noEndCap val="1"/>
            <c:val val="10000000"/>
            <c:spPr>
              <a:noFill/>
              <a:ln w="152400" cap="flat" cmpd="sng" algn="ctr">
                <a:gradFill flip="none" rotWithShape="1">
                  <a:gsLst>
                    <a:gs pos="0">
                      <a:schemeClr val="accent1">
                        <a:lumMod val="0"/>
                        <a:lumOff val="100000"/>
                      </a:schemeClr>
                    </a:gs>
                    <a:gs pos="38000">
                      <a:schemeClr val="accent1">
                        <a:lumMod val="0"/>
                        <a:lumOff val="100000"/>
                      </a:schemeClr>
                    </a:gs>
                    <a:gs pos="100000">
                      <a:srgbClr val="FF9900"/>
                    </a:gs>
                  </a:gsLst>
                  <a:path path="circle">
                    <a:fillToRect l="50000" t="-80000" r="50000" b="180000"/>
                  </a:path>
                  <a:tileRect/>
                </a:gradFill>
                <a:round/>
              </a:ln>
              <a:effectLst/>
            </c:spPr>
          </c:errBars>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- 4,5%'!$H$3:$H$83</c:f>
              <c:numCache>
                <c:formatCode>#,##0</c:formatCode>
                <c:ptCount val="81"/>
                <c:pt idx="0">
                  <c:v>10000000</c:v>
                </c:pt>
                <c:pt idx="1">
                  <c:v>10000000</c:v>
                </c:pt>
                <c:pt idx="2">
                  <c:v>10000000</c:v>
                </c:pt>
                <c:pt idx="3">
                  <c:v>10000000</c:v>
                </c:pt>
                <c:pt idx="4">
                  <c:v>10000000</c:v>
                </c:pt>
                <c:pt idx="5">
                  <c:v>10000000</c:v>
                </c:pt>
                <c:pt idx="6">
                  <c:v>10000000</c:v>
                </c:pt>
                <c:pt idx="7">
                  <c:v>10000000</c:v>
                </c:pt>
                <c:pt idx="8">
                  <c:v>10000000</c:v>
                </c:pt>
                <c:pt idx="9">
                  <c:v>10000000</c:v>
                </c:pt>
                <c:pt idx="10">
                  <c:v>10000000</c:v>
                </c:pt>
                <c:pt idx="11">
                  <c:v>10000000</c:v>
                </c:pt>
                <c:pt idx="12">
                  <c:v>10000000</c:v>
                </c:pt>
                <c:pt idx="13">
                  <c:v>10000000</c:v>
                </c:pt>
                <c:pt idx="14">
                  <c:v>10000000</c:v>
                </c:pt>
                <c:pt idx="15">
                  <c:v>10000000</c:v>
                </c:pt>
                <c:pt idx="16">
                  <c:v>10000000</c:v>
                </c:pt>
                <c:pt idx="17">
                  <c:v>10000000</c:v>
                </c:pt>
                <c:pt idx="18">
                  <c:v>10000000</c:v>
                </c:pt>
                <c:pt idx="19">
                  <c:v>10000000</c:v>
                </c:pt>
                <c:pt idx="20">
                  <c:v>10000000</c:v>
                </c:pt>
                <c:pt idx="21">
                  <c:v>10000000</c:v>
                </c:pt>
                <c:pt idx="22">
                  <c:v>10000000</c:v>
                </c:pt>
                <c:pt idx="23">
                  <c:v>10000000</c:v>
                </c:pt>
                <c:pt idx="24">
                  <c:v>10000000</c:v>
                </c:pt>
                <c:pt idx="25">
                  <c:v>10000000</c:v>
                </c:pt>
                <c:pt idx="26">
                  <c:v>10000000</c:v>
                </c:pt>
                <c:pt idx="27">
                  <c:v>10000000</c:v>
                </c:pt>
                <c:pt idx="28">
                  <c:v>10000000</c:v>
                </c:pt>
                <c:pt idx="29">
                  <c:v>10000000</c:v>
                </c:pt>
                <c:pt idx="30">
                  <c:v>10000000</c:v>
                </c:pt>
                <c:pt idx="31">
                  <c:v>10000000</c:v>
                </c:pt>
                <c:pt idx="32">
                  <c:v>10000000</c:v>
                </c:pt>
                <c:pt idx="33">
                  <c:v>10000000</c:v>
                </c:pt>
                <c:pt idx="34">
                  <c:v>10000000</c:v>
                </c:pt>
                <c:pt idx="35">
                  <c:v>10000000</c:v>
                </c:pt>
                <c:pt idx="36">
                  <c:v>10000000</c:v>
                </c:pt>
                <c:pt idx="37">
                  <c:v>10000000</c:v>
                </c:pt>
                <c:pt idx="38">
                  <c:v>10000000</c:v>
                </c:pt>
                <c:pt idx="39">
                  <c:v>10000000</c:v>
                </c:pt>
                <c:pt idx="40">
                  <c:v>10000000</c:v>
                </c:pt>
                <c:pt idx="41">
                  <c:v>10000000</c:v>
                </c:pt>
                <c:pt idx="42">
                  <c:v>10000000</c:v>
                </c:pt>
                <c:pt idx="43">
                  <c:v>10000000</c:v>
                </c:pt>
                <c:pt idx="44">
                  <c:v>10000000</c:v>
                </c:pt>
                <c:pt idx="45">
                  <c:v>10000000</c:v>
                </c:pt>
                <c:pt idx="46">
                  <c:v>10000000</c:v>
                </c:pt>
                <c:pt idx="47">
                  <c:v>10000000</c:v>
                </c:pt>
                <c:pt idx="48">
                  <c:v>10000000</c:v>
                </c:pt>
                <c:pt idx="49">
                  <c:v>10000000</c:v>
                </c:pt>
                <c:pt idx="50">
                  <c:v>10000000</c:v>
                </c:pt>
                <c:pt idx="51">
                  <c:v>10000000</c:v>
                </c:pt>
                <c:pt idx="52">
                  <c:v>10000000</c:v>
                </c:pt>
                <c:pt idx="53">
                  <c:v>10000000</c:v>
                </c:pt>
                <c:pt idx="54">
                  <c:v>10000000</c:v>
                </c:pt>
                <c:pt idx="55">
                  <c:v>10000000</c:v>
                </c:pt>
                <c:pt idx="56">
                  <c:v>10000000</c:v>
                </c:pt>
                <c:pt idx="57">
                  <c:v>10000000</c:v>
                </c:pt>
                <c:pt idx="58">
                  <c:v>10000000</c:v>
                </c:pt>
                <c:pt idx="59">
                  <c:v>10000000</c:v>
                </c:pt>
                <c:pt idx="60">
                  <c:v>10000000</c:v>
                </c:pt>
                <c:pt idx="61">
                  <c:v>10000000</c:v>
                </c:pt>
                <c:pt idx="62">
                  <c:v>10000000</c:v>
                </c:pt>
                <c:pt idx="63">
                  <c:v>10000000</c:v>
                </c:pt>
                <c:pt idx="64">
                  <c:v>10000000</c:v>
                </c:pt>
                <c:pt idx="65">
                  <c:v>10000000</c:v>
                </c:pt>
                <c:pt idx="66">
                  <c:v>10000000</c:v>
                </c:pt>
                <c:pt idx="67">
                  <c:v>10000000</c:v>
                </c:pt>
                <c:pt idx="68">
                  <c:v>10000000</c:v>
                </c:pt>
                <c:pt idx="69">
                  <c:v>10000000</c:v>
                </c:pt>
                <c:pt idx="70">
                  <c:v>10000000</c:v>
                </c:pt>
                <c:pt idx="71">
                  <c:v>10000000</c:v>
                </c:pt>
                <c:pt idx="72">
                  <c:v>10000000</c:v>
                </c:pt>
                <c:pt idx="73">
                  <c:v>10000000</c:v>
                </c:pt>
                <c:pt idx="74">
                  <c:v>10000000</c:v>
                </c:pt>
                <c:pt idx="75">
                  <c:v>10000000</c:v>
                </c:pt>
                <c:pt idx="76">
                  <c:v>10000000</c:v>
                </c:pt>
                <c:pt idx="77">
                  <c:v>10000000</c:v>
                </c:pt>
                <c:pt idx="78">
                  <c:v>10000000</c:v>
                </c:pt>
                <c:pt idx="79">
                  <c:v>10000000</c:v>
                </c:pt>
                <c:pt idx="80">
                  <c:v>10000000</c:v>
                </c:pt>
              </c:numCache>
            </c:numRef>
          </c:yVal>
          <c:smooth val="0"/>
          <c:extLst>
            <c:ext xmlns:c16="http://schemas.microsoft.com/office/drawing/2014/chart" uri="{C3380CC4-5D6E-409C-BE32-E72D297353CC}">
              <c16:uniqueId val="{00000001-1DEA-4EE0-98AF-05AFD8D39401}"/>
            </c:ext>
          </c:extLst>
        </c:ser>
        <c:ser>
          <c:idx val="5"/>
          <c:order val="2"/>
          <c:tx>
            <c:strRef>
              <c:f>'[consommation uranium ck -version 2 - fev 24.xlsx]Evolutions 0% - 1,6% - 4,5%'!$C$2</c:f>
              <c:strCache>
                <c:ptCount val="1"/>
              </c:strCache>
            </c:strRef>
          </c:tx>
          <c:spPr>
            <a:ln w="19050" cap="rnd">
              <a:noFill/>
              <a:round/>
            </a:ln>
            <a:effectLst/>
          </c:spPr>
          <c:marker>
            <c:symbol val="none"/>
          </c:marker>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- 4,5%'!$C$3:$C$83</c:f>
              <c:numCache>
                <c:formatCode>General</c:formatCode>
                <c:ptCount val="81"/>
              </c:numCache>
            </c:numRef>
          </c:yVal>
          <c:smooth val="0"/>
          <c:extLst>
            <c:ext xmlns:c16="http://schemas.microsoft.com/office/drawing/2014/chart" uri="{C3380CC4-5D6E-409C-BE32-E72D297353CC}">
              <c16:uniqueId val="{00000002-1DEA-4EE0-98AF-05AFD8D39401}"/>
            </c:ext>
          </c:extLst>
        </c:ser>
        <c:ser>
          <c:idx val="0"/>
          <c:order val="3"/>
          <c:tx>
            <c:strRef>
              <c:f>'[consommation uranium ck -version 2 - fev 24.xlsx]Evolutions 0% - 1,6% - 4,5%'!$D$2</c:f>
              <c:strCache>
                <c:ptCount val="1"/>
                <c:pt idx="0">
                  <c:v> Cumul projeté à 0%</c:v>
                </c:pt>
              </c:strCache>
            </c:strRef>
          </c:tx>
          <c:spPr>
            <a:ln w="38100" cap="rnd">
              <a:solidFill>
                <a:srgbClr val="0000FF"/>
              </a:solidFill>
              <a:round/>
            </a:ln>
            <a:effectLst/>
          </c:spPr>
          <c:marker>
            <c:symbol val="none"/>
          </c:marker>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- 4,5%'!$D$3:$D$83</c:f>
              <c:numCache>
                <c:formatCode>#,##0</c:formatCode>
                <c:ptCount val="81"/>
                <c:pt idx="0">
                  <c:v>2061100</c:v>
                </c:pt>
                <c:pt idx="1">
                  <c:v>2122200</c:v>
                </c:pt>
                <c:pt idx="2">
                  <c:v>2183300</c:v>
                </c:pt>
                <c:pt idx="3">
                  <c:v>2244400</c:v>
                </c:pt>
                <c:pt idx="4">
                  <c:v>2305500</c:v>
                </c:pt>
                <c:pt idx="5">
                  <c:v>2366600</c:v>
                </c:pt>
                <c:pt idx="6">
                  <c:v>2427700</c:v>
                </c:pt>
                <c:pt idx="7">
                  <c:v>2488800</c:v>
                </c:pt>
                <c:pt idx="8">
                  <c:v>2549900</c:v>
                </c:pt>
                <c:pt idx="9">
                  <c:v>2611000</c:v>
                </c:pt>
                <c:pt idx="10">
                  <c:v>2672100</c:v>
                </c:pt>
                <c:pt idx="11">
                  <c:v>2733200</c:v>
                </c:pt>
                <c:pt idx="12">
                  <c:v>2794300</c:v>
                </c:pt>
                <c:pt idx="13">
                  <c:v>2855400</c:v>
                </c:pt>
                <c:pt idx="14">
                  <c:v>2916500</c:v>
                </c:pt>
                <c:pt idx="15">
                  <c:v>2977600</c:v>
                </c:pt>
                <c:pt idx="16">
                  <c:v>3038700</c:v>
                </c:pt>
                <c:pt idx="17">
                  <c:v>3099800</c:v>
                </c:pt>
                <c:pt idx="18">
                  <c:v>3160900</c:v>
                </c:pt>
                <c:pt idx="19">
                  <c:v>3222000</c:v>
                </c:pt>
                <c:pt idx="20">
                  <c:v>3283100</c:v>
                </c:pt>
                <c:pt idx="21">
                  <c:v>3344200</c:v>
                </c:pt>
                <c:pt idx="22">
                  <c:v>3405300</c:v>
                </c:pt>
                <c:pt idx="23">
                  <c:v>3466400</c:v>
                </c:pt>
                <c:pt idx="24">
                  <c:v>3527500</c:v>
                </c:pt>
                <c:pt idx="25">
                  <c:v>3588600</c:v>
                </c:pt>
                <c:pt idx="26">
                  <c:v>3649700</c:v>
                </c:pt>
                <c:pt idx="27">
                  <c:v>3710800</c:v>
                </c:pt>
                <c:pt idx="28">
                  <c:v>3771900</c:v>
                </c:pt>
                <c:pt idx="29">
                  <c:v>3833000</c:v>
                </c:pt>
                <c:pt idx="30">
                  <c:v>3894100</c:v>
                </c:pt>
                <c:pt idx="31">
                  <c:v>3955200</c:v>
                </c:pt>
                <c:pt idx="32">
                  <c:v>4016300</c:v>
                </c:pt>
                <c:pt idx="33">
                  <c:v>4077400</c:v>
                </c:pt>
                <c:pt idx="34">
                  <c:v>4138500</c:v>
                </c:pt>
                <c:pt idx="35">
                  <c:v>4199600</c:v>
                </c:pt>
                <c:pt idx="36">
                  <c:v>4260700</c:v>
                </c:pt>
                <c:pt idx="37">
                  <c:v>4321800</c:v>
                </c:pt>
                <c:pt idx="38">
                  <c:v>4382900</c:v>
                </c:pt>
                <c:pt idx="39">
                  <c:v>4444000</c:v>
                </c:pt>
                <c:pt idx="40">
                  <c:v>4505100</c:v>
                </c:pt>
                <c:pt idx="41">
                  <c:v>4566200</c:v>
                </c:pt>
                <c:pt idx="42">
                  <c:v>4627300</c:v>
                </c:pt>
                <c:pt idx="43">
                  <c:v>4688400</c:v>
                </c:pt>
                <c:pt idx="44">
                  <c:v>4749500</c:v>
                </c:pt>
                <c:pt idx="45">
                  <c:v>4810600</c:v>
                </c:pt>
                <c:pt idx="46">
                  <c:v>4871700</c:v>
                </c:pt>
                <c:pt idx="47">
                  <c:v>4932800</c:v>
                </c:pt>
                <c:pt idx="48">
                  <c:v>4993900</c:v>
                </c:pt>
                <c:pt idx="49">
                  <c:v>5055000</c:v>
                </c:pt>
                <c:pt idx="50">
                  <c:v>5116100</c:v>
                </c:pt>
                <c:pt idx="51">
                  <c:v>5177200</c:v>
                </c:pt>
                <c:pt idx="52">
                  <c:v>5238300</c:v>
                </c:pt>
                <c:pt idx="53">
                  <c:v>5299400</c:v>
                </c:pt>
                <c:pt idx="54">
                  <c:v>5360500</c:v>
                </c:pt>
                <c:pt idx="55">
                  <c:v>5421600</c:v>
                </c:pt>
                <c:pt idx="56">
                  <c:v>5482700</c:v>
                </c:pt>
                <c:pt idx="57">
                  <c:v>5543800</c:v>
                </c:pt>
                <c:pt idx="58">
                  <c:v>5604900</c:v>
                </c:pt>
                <c:pt idx="59">
                  <c:v>5666000</c:v>
                </c:pt>
                <c:pt idx="60">
                  <c:v>5727100</c:v>
                </c:pt>
                <c:pt idx="61">
                  <c:v>5788200</c:v>
                </c:pt>
                <c:pt idx="62">
                  <c:v>5849300</c:v>
                </c:pt>
                <c:pt idx="63">
                  <c:v>5910400</c:v>
                </c:pt>
                <c:pt idx="64">
                  <c:v>5971500</c:v>
                </c:pt>
                <c:pt idx="65">
                  <c:v>6032600</c:v>
                </c:pt>
                <c:pt idx="66">
                  <c:v>6093700</c:v>
                </c:pt>
                <c:pt idx="67">
                  <c:v>6154800</c:v>
                </c:pt>
                <c:pt idx="68">
                  <c:v>6215900</c:v>
                </c:pt>
                <c:pt idx="69">
                  <c:v>6277000</c:v>
                </c:pt>
                <c:pt idx="70">
                  <c:v>6338100</c:v>
                </c:pt>
                <c:pt idx="71">
                  <c:v>6399200</c:v>
                </c:pt>
                <c:pt idx="72">
                  <c:v>6460300</c:v>
                </c:pt>
                <c:pt idx="73">
                  <c:v>6521400</c:v>
                </c:pt>
                <c:pt idx="74">
                  <c:v>6582500</c:v>
                </c:pt>
                <c:pt idx="75">
                  <c:v>6643600</c:v>
                </c:pt>
                <c:pt idx="76">
                  <c:v>6704700</c:v>
                </c:pt>
                <c:pt idx="77">
                  <c:v>6765800</c:v>
                </c:pt>
                <c:pt idx="78">
                  <c:v>6826900</c:v>
                </c:pt>
                <c:pt idx="79">
                  <c:v>6888000</c:v>
                </c:pt>
                <c:pt idx="80">
                  <c:v>6949100</c:v>
                </c:pt>
              </c:numCache>
            </c:numRef>
          </c:yVal>
          <c:smooth val="0"/>
          <c:extLst>
            <c:ext xmlns:c16="http://schemas.microsoft.com/office/drawing/2014/chart" uri="{C3380CC4-5D6E-409C-BE32-E72D297353CC}">
              <c16:uniqueId val="{00000003-1DEA-4EE0-98AF-05AFD8D39401}"/>
            </c:ext>
          </c:extLst>
        </c:ser>
        <c:ser>
          <c:idx val="1"/>
          <c:order val="4"/>
          <c:tx>
            <c:strRef>
              <c:f>'[consommation uranium ck -version 2 - fev 24.xlsx]Evolutions 0% - 1,6% - 4,5%'!$E$2</c:f>
              <c:strCache>
                <c:ptCount val="1"/>
                <c:pt idx="0">
                  <c:v> Cumul projeté à 1,6% (Red Book)</c:v>
                </c:pt>
              </c:strCache>
            </c:strRef>
          </c:tx>
          <c:spPr>
            <a:ln w="38100" cap="rnd">
              <a:solidFill>
                <a:srgbClr val="0000FF"/>
              </a:solidFill>
              <a:prstDash val="dash"/>
              <a:round/>
            </a:ln>
            <a:effectLst/>
          </c:spPr>
          <c:marker>
            <c:symbol val="none"/>
          </c:marker>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- 4,5%'!$E$3:$E$83</c:f>
              <c:numCache>
                <c:formatCode>#,##0</c:formatCode>
                <c:ptCount val="81"/>
                <c:pt idx="0">
                  <c:v>2061100</c:v>
                </c:pt>
                <c:pt idx="1">
                  <c:v>2123177.6000523753</c:v>
                </c:pt>
                <c:pt idx="2">
                  <c:v>2186248.4417588026</c:v>
                </c:pt>
                <c:pt idx="3">
                  <c:v>2250328.4169865972</c:v>
                </c:pt>
                <c:pt idx="4">
                  <c:v>2315433.6718729665</c:v>
                </c:pt>
                <c:pt idx="5">
                  <c:v>2381580.6108933268</c:v>
                </c:pt>
                <c:pt idx="6">
                  <c:v>2448785.9009947143</c:v>
                </c:pt>
                <c:pt idx="7">
                  <c:v>2517066.4757953333</c:v>
                </c:pt>
                <c:pt idx="8">
                  <c:v>2586439.5398512925</c:v>
                </c:pt>
                <c:pt idx="9">
                  <c:v>2656922.5729916147</c:v>
                </c:pt>
                <c:pt idx="10">
                  <c:v>2728533.3347226009</c:v>
                </c:pt>
                <c:pt idx="11">
                  <c:v>2801289.8687026678</c:v>
                </c:pt>
                <c:pt idx="12">
                  <c:v>2875210.5072887838</c:v>
                </c:pt>
                <c:pt idx="13">
                  <c:v>2950313.8761556428</c:v>
                </c:pt>
                <c:pt idx="14">
                  <c:v>3026618.8989887508</c:v>
                </c:pt>
                <c:pt idx="15">
                  <c:v>3104144.8022525981</c:v>
                </c:pt>
                <c:pt idx="16">
                  <c:v>3182911.1200351226</c:v>
                </c:pt>
                <c:pt idx="17">
                  <c:v>3262937.6989696869</c:v>
                </c:pt>
                <c:pt idx="18">
                  <c:v>3344244.7032358036</c:v>
                </c:pt>
                <c:pt idx="19">
                  <c:v>3426852.6196398754</c:v>
                </c:pt>
                <c:pt idx="20">
                  <c:v>3510782.2627772246</c:v>
                </c:pt>
                <c:pt idx="21">
                  <c:v>3596054.7802767167</c:v>
                </c:pt>
                <c:pt idx="22">
                  <c:v>3682691.6581292972</c:v>
                </c:pt>
                <c:pt idx="23">
                  <c:v>3770714.7261017845</c:v>
                </c:pt>
                <c:pt idx="24">
                  <c:v>3860146.1632372858</c:v>
                </c:pt>
                <c:pt idx="25">
                  <c:v>3951008.5034436174</c:v>
                </c:pt>
                <c:pt idx="26">
                  <c:v>4043324.6411711378</c:v>
                </c:pt>
                <c:pt idx="27">
                  <c:v>4137117.8371814326</c:v>
                </c:pt>
                <c:pt idx="28">
                  <c:v>4232411.7244082931</c:v>
                </c:pt>
                <c:pt idx="29">
                  <c:v>4329230.3139124699</c:v>
                </c:pt>
                <c:pt idx="30">
                  <c:v>4427598.0009317063</c:v>
                </c:pt>
                <c:pt idx="31">
                  <c:v>4527539.5710275732</c:v>
                </c:pt>
                <c:pt idx="32">
                  <c:v>4629080.206330644</c:v>
                </c:pt>
                <c:pt idx="33">
                  <c:v>4732245.4918856062</c:v>
                </c:pt>
                <c:pt idx="34">
                  <c:v>4837061.4220978823</c:v>
                </c:pt>
                <c:pt idx="35">
                  <c:v>4943554.407283403</c:v>
                </c:pt>
                <c:pt idx="36">
                  <c:v>5051751.2803231794</c:v>
                </c:pt>
                <c:pt idx="37">
                  <c:v>5161679.3034243397</c:v>
                </c:pt>
                <c:pt idx="38">
                  <c:v>5273366.1749893501</c:v>
                </c:pt>
                <c:pt idx="39">
                  <c:v>5386840.0365951397</c:v>
                </c:pt>
                <c:pt idx="40">
                  <c:v>5502129.4800838921</c:v>
                </c:pt>
                <c:pt idx="41">
                  <c:v>5619263.554767292</c:v>
                </c:pt>
                <c:pt idx="42">
                  <c:v>5738271.7747460343</c:v>
                </c:pt>
                <c:pt idx="43">
                  <c:v>5859184.1263464522</c:v>
                </c:pt>
                <c:pt idx="44">
                  <c:v>5982031.0756761236</c:v>
                </c:pt>
                <c:pt idx="45">
                  <c:v>6106843.5763003752</c:v>
                </c:pt>
                <c:pt idx="46">
                  <c:v>6233653.0770416055</c:v>
                </c:pt>
                <c:pt idx="47">
                  <c:v>6362491.5299033979</c:v>
                </c:pt>
                <c:pt idx="48">
                  <c:v>6493391.3981214203</c:v>
                </c:pt>
                <c:pt idx="49">
                  <c:v>6626385.6643431392</c:v>
                </c:pt>
                <c:pt idx="50">
                  <c:v>6761507.8389384095</c:v>
                </c:pt>
                <c:pt idx="51">
                  <c:v>6898791.9684430324</c:v>
                </c:pt>
                <c:pt idx="52">
                  <c:v>7038272.6441374104</c:v>
                </c:pt>
                <c:pt idx="53">
                  <c:v>7179985.0107624624</c:v>
                </c:pt>
                <c:pt idx="54">
                  <c:v>7323964.7753749928</c:v>
                </c:pt>
                <c:pt idx="55">
                  <c:v>7470248.216344744</c:v>
                </c:pt>
                <c:pt idx="56">
                  <c:v>7618872.1924954066</c:v>
                </c:pt>
                <c:pt idx="57">
                  <c:v>7769874.1523918817</c:v>
                </c:pt>
                <c:pt idx="58">
                  <c:v>7923292.1437761411</c:v>
                </c:pt>
                <c:pt idx="59">
                  <c:v>8079164.8231540602</c:v>
                </c:pt>
                <c:pt idx="60">
                  <c:v>8237531.4655356416</c:v>
                </c:pt>
                <c:pt idx="61">
                  <c:v>8398431.9743310809</c:v>
                </c:pt>
                <c:pt idx="62">
                  <c:v>8561906.8914051726</c:v>
                </c:pt>
                <c:pt idx="63">
                  <c:v>8727997.4072925821</c:v>
                </c:pt>
                <c:pt idx="64">
                  <c:v>8896745.3715765644</c:v>
                </c:pt>
                <c:pt idx="65">
                  <c:v>9068193.3034337424</c:v>
                </c:pt>
                <c:pt idx="66">
                  <c:v>9242384.4023476038</c:v>
                </c:pt>
                <c:pt idx="67">
                  <c:v>9419362.5589934029</c:v>
                </c:pt>
                <c:pt idx="68">
                  <c:v>9599172.366297245</c:v>
                </c:pt>
                <c:pt idx="69">
                  <c:v>9781859.1306720804</c:v>
                </c:pt>
                <c:pt idx="70">
                  <c:v>9967468.8834335152</c:v>
                </c:pt>
                <c:pt idx="71">
                  <c:v>10156048.392398238</c:v>
                </c:pt>
                <c:pt idx="72">
                  <c:v>10347645.173668051</c:v>
                </c:pt>
                <c:pt idx="73">
                  <c:v>10542307.503602419</c:v>
                </c:pt>
                <c:pt idx="74">
                  <c:v>10740084.430982603</c:v>
                </c:pt>
                <c:pt idx="75">
                  <c:v>10941025.789370405</c:v>
                </c:pt>
                <c:pt idx="76">
                  <c:v>11145182.209664661</c:v>
                </c:pt>
                <c:pt idx="77">
                  <c:v>11352605.13285863</c:v>
                </c:pt>
                <c:pt idx="78">
                  <c:v>11563346.823001508</c:v>
                </c:pt>
                <c:pt idx="79">
                  <c:v>11777460.38036732</c:v>
                </c:pt>
                <c:pt idx="80">
                  <c:v>11994999.754834527</c:v>
                </c:pt>
              </c:numCache>
            </c:numRef>
          </c:yVal>
          <c:smooth val="0"/>
          <c:extLst>
            <c:ext xmlns:c16="http://schemas.microsoft.com/office/drawing/2014/chart" uri="{C3380CC4-5D6E-409C-BE32-E72D297353CC}">
              <c16:uniqueId val="{00000004-1DEA-4EE0-98AF-05AFD8D39401}"/>
            </c:ext>
          </c:extLst>
        </c:ser>
        <c:ser>
          <c:idx val="2"/>
          <c:order val="5"/>
          <c:tx>
            <c:strRef>
              <c:f>'[consommation uranium ck -version 2 - fev 24.xlsx]Evolutions 0% - 1,6% - 4,5%'!$F$2</c:f>
              <c:strCache>
                <c:ptCount val="1"/>
                <c:pt idx="0">
                  <c:v> Cumul projeté à 4,5% (COP 28)</c:v>
                </c:pt>
              </c:strCache>
            </c:strRef>
          </c:tx>
          <c:spPr>
            <a:ln w="38100" cap="rnd">
              <a:solidFill>
                <a:srgbClr val="0000FF"/>
              </a:solidFill>
              <a:prstDash val="sysDot"/>
              <a:round/>
            </a:ln>
            <a:effectLst/>
          </c:spPr>
          <c:marker>
            <c:symbol val="none"/>
          </c:marker>
          <c:xVal>
            <c:numRef>
              <c:f>'[consommation uranium ck -version 2 - fev 24.xlsx]Evolutions 0% - 1,6% - 4,5%'!$B$3:$B$83</c:f>
              <c:numCache>
                <c:formatCode>General</c:formatCode>
                <c:ptCount val="81"/>
                <c:pt idx="0">
                  <c:v>2020</c:v>
                </c:pt>
                <c:pt idx="1">
                  <c:v>2021</c:v>
                </c:pt>
                <c:pt idx="2">
                  <c:v>2022</c:v>
                </c:pt>
                <c:pt idx="3">
                  <c:v>2023</c:v>
                </c:pt>
                <c:pt idx="4">
                  <c:v>2024</c:v>
                </c:pt>
                <c:pt idx="5">
                  <c:v>2025</c:v>
                </c:pt>
                <c:pt idx="6">
                  <c:v>2026</c:v>
                </c:pt>
                <c:pt idx="7">
                  <c:v>2027</c:v>
                </c:pt>
                <c:pt idx="8">
                  <c:v>2028</c:v>
                </c:pt>
                <c:pt idx="9">
                  <c:v>2029</c:v>
                </c:pt>
                <c:pt idx="10">
                  <c:v>2030</c:v>
                </c:pt>
                <c:pt idx="11">
                  <c:v>2031</c:v>
                </c:pt>
                <c:pt idx="12">
                  <c:v>2032</c:v>
                </c:pt>
                <c:pt idx="13">
                  <c:v>2033</c:v>
                </c:pt>
                <c:pt idx="14">
                  <c:v>2034</c:v>
                </c:pt>
                <c:pt idx="15">
                  <c:v>2035</c:v>
                </c:pt>
                <c:pt idx="16">
                  <c:v>2036</c:v>
                </c:pt>
                <c:pt idx="17">
                  <c:v>2037</c:v>
                </c:pt>
                <c:pt idx="18">
                  <c:v>2038</c:v>
                </c:pt>
                <c:pt idx="19">
                  <c:v>2039</c:v>
                </c:pt>
                <c:pt idx="20">
                  <c:v>2040</c:v>
                </c:pt>
                <c:pt idx="21">
                  <c:v>2041</c:v>
                </c:pt>
                <c:pt idx="22">
                  <c:v>2042</c:v>
                </c:pt>
                <c:pt idx="23">
                  <c:v>2043</c:v>
                </c:pt>
                <c:pt idx="24">
                  <c:v>2044</c:v>
                </c:pt>
                <c:pt idx="25">
                  <c:v>2045</c:v>
                </c:pt>
                <c:pt idx="26">
                  <c:v>2046</c:v>
                </c:pt>
                <c:pt idx="27">
                  <c:v>2047</c:v>
                </c:pt>
                <c:pt idx="28">
                  <c:v>2048</c:v>
                </c:pt>
                <c:pt idx="29">
                  <c:v>2049</c:v>
                </c:pt>
                <c:pt idx="30">
                  <c:v>2050</c:v>
                </c:pt>
                <c:pt idx="31">
                  <c:v>2051</c:v>
                </c:pt>
                <c:pt idx="32">
                  <c:v>2052</c:v>
                </c:pt>
                <c:pt idx="33">
                  <c:v>2053</c:v>
                </c:pt>
                <c:pt idx="34">
                  <c:v>2054</c:v>
                </c:pt>
                <c:pt idx="35">
                  <c:v>2055</c:v>
                </c:pt>
                <c:pt idx="36">
                  <c:v>2056</c:v>
                </c:pt>
                <c:pt idx="37">
                  <c:v>2057</c:v>
                </c:pt>
                <c:pt idx="38">
                  <c:v>2058</c:v>
                </c:pt>
                <c:pt idx="39">
                  <c:v>2059</c:v>
                </c:pt>
                <c:pt idx="40">
                  <c:v>2060</c:v>
                </c:pt>
                <c:pt idx="41">
                  <c:v>2061</c:v>
                </c:pt>
                <c:pt idx="42">
                  <c:v>2062</c:v>
                </c:pt>
                <c:pt idx="43">
                  <c:v>2063</c:v>
                </c:pt>
                <c:pt idx="44">
                  <c:v>2064</c:v>
                </c:pt>
                <c:pt idx="45">
                  <c:v>2065</c:v>
                </c:pt>
                <c:pt idx="46">
                  <c:v>2066</c:v>
                </c:pt>
                <c:pt idx="47">
                  <c:v>2067</c:v>
                </c:pt>
                <c:pt idx="48">
                  <c:v>2068</c:v>
                </c:pt>
                <c:pt idx="49">
                  <c:v>2069</c:v>
                </c:pt>
                <c:pt idx="50">
                  <c:v>2070</c:v>
                </c:pt>
                <c:pt idx="51">
                  <c:v>2071</c:v>
                </c:pt>
                <c:pt idx="52">
                  <c:v>2072</c:v>
                </c:pt>
                <c:pt idx="53">
                  <c:v>2073</c:v>
                </c:pt>
                <c:pt idx="54">
                  <c:v>2074</c:v>
                </c:pt>
                <c:pt idx="55">
                  <c:v>2075</c:v>
                </c:pt>
                <c:pt idx="56">
                  <c:v>2076</c:v>
                </c:pt>
                <c:pt idx="57">
                  <c:v>2077</c:v>
                </c:pt>
                <c:pt idx="58">
                  <c:v>2078</c:v>
                </c:pt>
                <c:pt idx="59">
                  <c:v>2079</c:v>
                </c:pt>
                <c:pt idx="60">
                  <c:v>2080</c:v>
                </c:pt>
                <c:pt idx="61">
                  <c:v>2081</c:v>
                </c:pt>
                <c:pt idx="62">
                  <c:v>2082</c:v>
                </c:pt>
                <c:pt idx="63">
                  <c:v>2083</c:v>
                </c:pt>
                <c:pt idx="64">
                  <c:v>2084</c:v>
                </c:pt>
                <c:pt idx="65">
                  <c:v>2085</c:v>
                </c:pt>
                <c:pt idx="66">
                  <c:v>2086</c:v>
                </c:pt>
                <c:pt idx="67">
                  <c:v>2087</c:v>
                </c:pt>
                <c:pt idx="68">
                  <c:v>2088</c:v>
                </c:pt>
                <c:pt idx="69">
                  <c:v>2089</c:v>
                </c:pt>
                <c:pt idx="70">
                  <c:v>2090</c:v>
                </c:pt>
                <c:pt idx="71">
                  <c:v>2091</c:v>
                </c:pt>
                <c:pt idx="72">
                  <c:v>2092</c:v>
                </c:pt>
                <c:pt idx="73">
                  <c:v>2093</c:v>
                </c:pt>
                <c:pt idx="74">
                  <c:v>2094</c:v>
                </c:pt>
                <c:pt idx="75">
                  <c:v>2095</c:v>
                </c:pt>
                <c:pt idx="76">
                  <c:v>2096</c:v>
                </c:pt>
                <c:pt idx="77">
                  <c:v>2097</c:v>
                </c:pt>
                <c:pt idx="78">
                  <c:v>2098</c:v>
                </c:pt>
                <c:pt idx="79">
                  <c:v>2099</c:v>
                </c:pt>
                <c:pt idx="80">
                  <c:v>2100</c:v>
                </c:pt>
              </c:numCache>
            </c:numRef>
          </c:xVal>
          <c:yVal>
            <c:numRef>
              <c:f>'[consommation uranium ck -version 2 - fev 24.xlsx]Evolutions 0% - 1,6% - 4,5%'!$F$3:$F$83</c:f>
              <c:numCache>
                <c:formatCode>#,##0</c:formatCode>
                <c:ptCount val="81"/>
                <c:pt idx="0">
                  <c:v>2061100</c:v>
                </c:pt>
                <c:pt idx="1">
                  <c:v>2124949.5002926365</c:v>
                </c:pt>
                <c:pt idx="2">
                  <c:v>2191672.2284042472</c:v>
                </c:pt>
                <c:pt idx="3">
                  <c:v>2261397.4796004472</c:v>
                </c:pt>
                <c:pt idx="4">
                  <c:v>2334260.3674344225</c:v>
                </c:pt>
                <c:pt idx="5">
                  <c:v>2410402.0855699019</c:v>
                </c:pt>
                <c:pt idx="6">
                  <c:v>2489970.1813861565</c:v>
                </c:pt>
                <c:pt idx="7">
                  <c:v>2573118.8418952315</c:v>
                </c:pt>
                <c:pt idx="8">
                  <c:v>2660009.1925254529</c:v>
                </c:pt>
                <c:pt idx="9">
                  <c:v>2750809.6093501928</c:v>
                </c:pt>
                <c:pt idx="10">
                  <c:v>2845696.0453669326</c:v>
                </c:pt>
                <c:pt idx="11">
                  <c:v>2944852.3714588811</c:v>
                </c:pt>
                <c:pt idx="12">
                  <c:v>3048470.7326998734</c:v>
                </c:pt>
                <c:pt idx="13">
                  <c:v>3156751.9206929877</c:v>
                </c:pt>
                <c:pt idx="14">
                  <c:v>3269905.7626644019</c:v>
                </c:pt>
                <c:pt idx="15">
                  <c:v>3388151.5280664768</c:v>
                </c:pt>
                <c:pt idx="16">
                  <c:v>3511718.3534779791</c:v>
                </c:pt>
                <c:pt idx="17">
                  <c:v>3640845.6866248194</c:v>
                </c:pt>
                <c:pt idx="18">
                  <c:v>3775783.7503817189</c:v>
                </c:pt>
                <c:pt idx="19">
                  <c:v>3916794.0276539605</c:v>
                </c:pt>
                <c:pt idx="20">
                  <c:v>4064149.768078818</c:v>
                </c:pt>
                <c:pt idx="21">
                  <c:v>4218136.5175285498</c:v>
                </c:pt>
                <c:pt idx="22">
                  <c:v>4379052.6714410353</c:v>
                </c:pt>
                <c:pt idx="23">
                  <c:v>4547210.0530502852</c:v>
                </c:pt>
                <c:pt idx="24">
                  <c:v>4722934.5176373357</c:v>
                </c:pt>
                <c:pt idx="25">
                  <c:v>4906566.5839724317</c:v>
                </c:pt>
                <c:pt idx="26">
                  <c:v>5098462.0941721071</c:v>
                </c:pt>
                <c:pt idx="27">
                  <c:v>5298992.9032498449</c:v>
                </c:pt>
                <c:pt idx="28">
                  <c:v>5508547.5996965189</c:v>
                </c:pt>
                <c:pt idx="29">
                  <c:v>5727532.2584869489</c:v>
                </c:pt>
                <c:pt idx="30">
                  <c:v>5956371.227971768</c:v>
                </c:pt>
                <c:pt idx="31">
                  <c:v>6195507.9521794226</c:v>
                </c:pt>
                <c:pt idx="32">
                  <c:v>6445405.8301217593</c:v>
                </c:pt>
                <c:pt idx="33">
                  <c:v>6706549.1137683801</c:v>
                </c:pt>
                <c:pt idx="34">
                  <c:v>6979443.8464298369</c:v>
                </c:pt>
                <c:pt idx="35">
                  <c:v>7264618.8433680804</c:v>
                </c:pt>
                <c:pt idx="36">
                  <c:v>7562626.7165343827</c:v>
                </c:pt>
                <c:pt idx="37">
                  <c:v>7874044.9454204682</c:v>
                </c:pt>
                <c:pt idx="38">
                  <c:v>8199476.9960979559</c:v>
                </c:pt>
                <c:pt idx="39">
                  <c:v>8539553.4906145781</c:v>
                </c:pt>
                <c:pt idx="40">
                  <c:v>8894933.4290132336</c:v>
                </c:pt>
                <c:pt idx="41">
                  <c:v>9266305.4663419127</c:v>
                </c:pt>
                <c:pt idx="42">
                  <c:v>9654389.2471290566</c:v>
                </c:pt>
                <c:pt idx="43">
                  <c:v>10059936.799910339</c:v>
                </c:pt>
                <c:pt idx="44">
                  <c:v>10483733.994509136</c:v>
                </c:pt>
                <c:pt idx="45">
                  <c:v>10926602.064894645</c:v>
                </c:pt>
                <c:pt idx="46">
                  <c:v>11389399.200568603</c:v>
                </c:pt>
                <c:pt idx="47">
                  <c:v>11873022.209564444</c:v>
                </c:pt>
                <c:pt idx="48">
                  <c:v>12378408.256281396</c:v>
                </c:pt>
                <c:pt idx="49">
                  <c:v>12906536.677521143</c:v>
                </c:pt>
                <c:pt idx="50">
                  <c:v>13458430.880246134</c:v>
                </c:pt>
                <c:pt idx="51">
                  <c:v>14035160.324737031</c:v>
                </c:pt>
                <c:pt idx="52">
                  <c:v>14637842.596992247</c:v>
                </c:pt>
                <c:pt idx="53">
                  <c:v>15267645.574385477</c:v>
                </c:pt>
                <c:pt idx="54">
                  <c:v>15925789.688777825</c:v>
                </c:pt>
                <c:pt idx="55">
                  <c:v>16613550.291469991</c:v>
                </c:pt>
                <c:pt idx="56">
                  <c:v>17332260.124577314</c:v>
                </c:pt>
                <c:pt idx="57">
                  <c:v>18083311.903616704</c:v>
                </c:pt>
                <c:pt idx="58">
                  <c:v>18868161.01631001</c:v>
                </c:pt>
                <c:pt idx="59">
                  <c:v>19688328.342833526</c:v>
                </c:pt>
                <c:pt idx="60">
                  <c:v>20545403.202978767</c:v>
                </c:pt>
                <c:pt idx="61">
                  <c:v>21441046.435935479</c:v>
                </c:pt>
                <c:pt idx="62">
                  <c:v>22376993.618664902</c:v>
                </c:pt>
                <c:pt idx="63">
                  <c:v>23355058.429099839</c:v>
                </c:pt>
                <c:pt idx="64">
                  <c:v>24377136.160688762</c:v>
                </c:pt>
                <c:pt idx="65">
                  <c:v>25445207.395094398</c:v>
                </c:pt>
                <c:pt idx="66">
                  <c:v>26561341.840163782</c:v>
                </c:pt>
                <c:pt idx="67">
                  <c:v>27727702.340606984</c:v>
                </c:pt>
                <c:pt idx="68">
                  <c:v>28946549.069156379</c:v>
                </c:pt>
                <c:pt idx="69">
                  <c:v>30220243.906328127</c:v>
                </c:pt>
                <c:pt idx="70">
                  <c:v>31551255.017272927</c:v>
                </c:pt>
                <c:pt idx="71">
                  <c:v>32942161.634585083</c:v>
                </c:pt>
                <c:pt idx="72">
                  <c:v>34395659.05633799</c:v>
                </c:pt>
                <c:pt idx="73">
                  <c:v>35914563.869031265</c:v>
                </c:pt>
                <c:pt idx="74">
                  <c:v>37501819.405570485</c:v>
                </c:pt>
                <c:pt idx="75">
                  <c:v>39160501.448856086</c:v>
                </c:pt>
                <c:pt idx="76">
                  <c:v>40893824.192033745</c:v>
                </c:pt>
                <c:pt idx="77">
                  <c:v>42705146.466956101</c:v>
                </c:pt>
                <c:pt idx="78">
                  <c:v>44597978.25292524</c:v>
                </c:pt>
                <c:pt idx="79">
                  <c:v>46575987.478328653</c:v>
                </c:pt>
                <c:pt idx="80">
                  <c:v>48643007.128348835</c:v>
                </c:pt>
              </c:numCache>
            </c:numRef>
          </c:yVal>
          <c:smooth val="0"/>
          <c:extLst>
            <c:ext xmlns:c16="http://schemas.microsoft.com/office/drawing/2014/chart" uri="{C3380CC4-5D6E-409C-BE32-E72D297353CC}">
              <c16:uniqueId val="{00000005-1DEA-4EE0-98AF-05AFD8D39401}"/>
            </c:ext>
          </c:extLst>
        </c:ser>
        <c:dLbls>
          <c:showLegendKey val="0"/>
          <c:showVal val="0"/>
          <c:showCatName val="0"/>
          <c:showSerName val="0"/>
          <c:showPercent val="0"/>
          <c:showBubbleSize val="0"/>
        </c:dLbls>
        <c:axId val="324225840"/>
        <c:axId val="40064688"/>
      </c:scatterChart>
      <c:valAx>
        <c:axId val="324225840"/>
        <c:scaling>
          <c:orientation val="minMax"/>
          <c:max val="2100"/>
          <c:min val="2020"/>
        </c:scaling>
        <c:delete val="0"/>
        <c:axPos val="b"/>
        <c:majorGridlines>
          <c:spPr>
            <a:ln w="19050"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alibri" panose="020F0502020204030204" pitchFamily="34" charset="0"/>
                <a:ea typeface="+mn-ea"/>
                <a:cs typeface="+mn-cs"/>
              </a:defRPr>
            </a:pPr>
            <a:endParaRPr lang="fr-FR"/>
          </a:p>
        </c:txPr>
        <c:crossAx val="40064688"/>
        <c:crosses val="autoZero"/>
        <c:crossBetween val="midCat"/>
      </c:valAx>
      <c:valAx>
        <c:axId val="40064688"/>
        <c:scaling>
          <c:orientation val="minMax"/>
          <c:max val="40000000"/>
          <c:min val="0"/>
        </c:scaling>
        <c:delete val="0"/>
        <c:axPos val="l"/>
        <c:majorGridlines>
          <c:spPr>
            <a:ln w="9525" cap="flat" cmpd="sng" algn="ctr">
              <a:noFill/>
              <a:round/>
            </a:ln>
            <a:effectLst/>
          </c:spPr>
        </c:majorGridlines>
        <c:numFmt formatCode="#,##0\ \t"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Calibri" panose="020F0502020204030204" pitchFamily="34" charset="0"/>
                <a:ea typeface="+mn-ea"/>
                <a:cs typeface="+mn-cs"/>
              </a:defRPr>
            </a:pPr>
            <a:endParaRPr lang="fr-FR"/>
          </a:p>
        </c:txPr>
        <c:crossAx val="324225840"/>
        <c:crosses val="autoZero"/>
        <c:crossBetween val="midCat"/>
      </c:valAx>
      <c:spPr>
        <a:noFill/>
        <a:ln w="19050">
          <a:solidFill>
            <a:schemeClr val="tx1">
              <a:lumMod val="15000"/>
              <a:lumOff val="85000"/>
            </a:schemeClr>
          </a:solidFill>
        </a:ln>
        <a:effectLst/>
      </c:spPr>
    </c:plotArea>
    <c:legend>
      <c:legendPos val="t"/>
      <c:layout>
        <c:manualLayout>
          <c:xMode val="edge"/>
          <c:yMode val="edge"/>
          <c:x val="0.10698228693635518"/>
          <c:y val="5.371812729185025E-2"/>
          <c:w val="0.6790906345040203"/>
          <c:h val="0.31771558216239915"/>
        </c:manualLayout>
      </c:layout>
      <c:overlay val="1"/>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Calibri" panose="020F0502020204030204" pitchFamily="34" charset="0"/>
              <a:ea typeface="+mn-ea"/>
              <a:cs typeface="+mn-cs"/>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ersonnalisé 2">
    <a:dk1>
      <a:srgbClr val="000000"/>
    </a:dk1>
    <a:lt1>
      <a:srgbClr val="FFFFFF"/>
    </a:lt1>
    <a:dk2>
      <a:srgbClr val="46464A"/>
    </a:dk2>
    <a:lt2>
      <a:srgbClr val="D6D3CC"/>
    </a:lt2>
    <a:accent1>
      <a:srgbClr val="CC0066"/>
    </a:accent1>
    <a:accent2>
      <a:srgbClr val="0707B9"/>
    </a:accent2>
    <a:accent3>
      <a:srgbClr val="92D050"/>
    </a:accent3>
    <a:accent4>
      <a:srgbClr val="FFFF65"/>
    </a:accent4>
    <a:accent5>
      <a:srgbClr val="BFBF00"/>
    </a:accent5>
    <a:accent6>
      <a:srgbClr val="7F7F7F"/>
    </a:accent6>
    <a:hlink>
      <a:srgbClr val="67AABF"/>
    </a:hlink>
    <a:folHlink>
      <a:srgbClr val="ABAFA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13BC6-E10F-4374-BBBD-202A70F2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10</Pages>
  <Words>3205</Words>
  <Characters>17631</Characters>
  <Application>Microsoft Office Word</Application>
  <DocSecurity>0</DocSecurity>
  <Lines>146</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Jaime</cp:lastModifiedBy>
  <cp:revision>31</cp:revision>
  <cp:lastPrinted>2025-03-12T07:09:00Z</cp:lastPrinted>
  <dcterms:created xsi:type="dcterms:W3CDTF">2025-03-13T21:44:00Z</dcterms:created>
  <dcterms:modified xsi:type="dcterms:W3CDTF">2025-04-16T11:50:00Z</dcterms:modified>
</cp:coreProperties>
</file>